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80"/>
        <w:jc w:val="center"/>
      </w:pPr>
      <w:r>
        <w:rPr>
          <w:rFonts w:ascii="Arial" w:cs="Arial" w:eastAsia="Arial" w:hAnsi="Arial"/>
          <w:b/>
          <w:bCs/>
          <w:color w:val="1B2E5E"/>
          <w:sz w:val="52"/>
          <w:szCs w:val="52"/>
        </w:rPr>
        <w:t xml:space="preserve">ALTIQA MULTI-FAMILY OFFICE</w:t>
      </w:r>
    </w:p>
    <w:p>
      <w:pPr>
        <w:spacing w:before="0" w:after="80"/>
        <w:jc w:val="center"/>
      </w:pPr>
      <w:r>
        <w:rPr>
          <w:rFonts w:ascii="Arial" w:cs="Arial" w:eastAsia="Arial" w:hAnsi="Arial"/>
          <w:i/>
          <w:iCs/>
          <w:color w:val="C8963E"/>
          <w:sz w:val="36"/>
          <w:szCs w:val="36"/>
        </w:rPr>
        <w:t xml:space="preserve">Welcome to the Family</w:t>
      </w:r>
    </w:p>
    <w:p>
      <w:pPr>
        <w:spacing w:before="0" w:after="480"/>
        <w:jc w:val="center"/>
      </w:pPr>
      <w:r>
        <w:rPr>
          <w:rFonts w:ascii="Arial" w:cs="Arial" w:eastAsia="Arial" w:hAnsi="Arial"/>
          <w:color w:val="1F7A8C"/>
          <w:sz w:val="22"/>
          <w:szCs w:val="22"/>
        </w:rPr>
        <w:t xml:space="preserve">Convertible Line of Credit — Borrower Onboarding Package</w:t>
      </w:r>
    </w:p>
    <w:p>
      <w:pPr>
        <w:pBdr>
          <w:bottom w:val="single" w:color="1B2E5E" w:sz="8" w:space="1"/>
        </w:pBdr>
        <w:spacing w:before="200" w:after="200"/>
      </w:pPr>
    </w:p>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A MESSAGE FROM ALTIQA</w:t>
      </w:r>
    </w:p>
    <w:p>
      <w:pPr>
        <w:spacing w:before="80" w:after="80"/>
      </w:pPr>
      <w:r>
        <w:rPr>
          <w:rFonts w:ascii="Arial" w:cs="Arial" w:eastAsia="Arial" w:hAnsi="Arial"/>
          <w:b/>
          <w:bCs/>
          <w:color w:val="1A1A1A"/>
          <w:sz w:val="22"/>
          <w:szCs w:val="22"/>
        </w:rPr>
        <w:t xml:space="preserve">Dear </w:t>
      </w:r>
      <w:r>
        <w:rPr>
          <w:b/>
          <w:bCs/>
          <w:color w:val="CC0000"/>
        </w:rPr>
        <w:t xml:space="preserve">[[FOUNDER / CEO NAME]]</w:t>
      </w:r>
      <w:r>
        <w:rPr>
          <w:rFonts w:ascii="Arial" w:cs="Arial" w:eastAsia="Arial" w:hAnsi="Arial"/>
          <w:b/>
          <w:bCs/>
          <w:color w:val="1A1A1A"/>
          <w:sz w:val="22"/>
          <w:szCs w:val="22"/>
        </w:rPr>
        <w:t xml:space="preserve">,</w:t>
      </w:r>
    </w:p>
    <w:p>
      <w:pPr>
        <w:spacing w:before="60" w:after="6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On behalf of the entire Altiqa Multi-Family Office team, I am delighted to welcome you and the team at </w:t>
      </w:r>
      <w:r>
        <w:rPr>
          <w:b/>
          <w:bCs/>
          <w:color w:val="CC0000"/>
        </w:rPr>
        <w:t xml:space="preserve">[[COMPANY NAME]]</w:t>
      </w:r>
      <w:r>
        <w:rPr>
          <w:rFonts w:ascii="Arial" w:cs="Arial" w:eastAsia="Arial" w:hAnsi="Arial"/>
          <w:color w:val="1A1A1A"/>
          <w:sz w:val="22"/>
          <w:szCs w:val="22"/>
        </w:rPr>
        <w:t xml:space="preserve"> to our growing community of portfolio companies.</w:t>
      </w:r>
    </w:p>
    <w:p>
      <w:pPr>
        <w:spacing w:before="60" w:after="6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Today marks the beginning of what we hope will be a long, productive, and mutually rewarding partnership. At Altiqa, we don't think of ourselves as lenders — we think of ourselves as capital partners. Your success is our success. The growth you build over the coming years is precisely what this facility is designed to support.</w:t>
      </w:r>
    </w:p>
    <w:p>
      <w:pPr>
        <w:spacing w:before="60" w:after="6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We have structured your Convertible Line of Credit to give you maximum freedom: no monthly payment obligations, no collateral encumbering your assets, and the flexibility to repay or convert to equity at maturity, at your election. Your job is to execute. Ours is to make sure capital is never the reason you can't.</w:t>
      </w:r>
    </w:p>
    <w:p>
      <w:pPr>
        <w:spacing w:before="60" w:after="6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I look forward to our inaugural meeting and to being part of the journey ahead.</w:t>
      </w:r>
    </w:p>
    <w:p>
      <w:pPr>
        <w:spacing w:before="80" w:after="60"/>
      </w:pPr>
      <w:r>
        <w:rPr>
          <w:rFonts w:ascii="Arial" w:cs="Arial" w:eastAsia="Arial" w:hAnsi="Arial"/>
          <w:color w:val="1A1A1A"/>
          <w:sz w:val="22"/>
          <w:szCs w:val="22"/>
        </w:rPr>
        <w:t xml:space="preserve"/>
      </w:r>
    </w:p>
    <w:p>
      <w:pPr>
        <w:spacing w:before="80" w:after="80"/>
      </w:pPr>
      <w:r>
        <w:rPr>
          <w:rFonts w:ascii="Arial" w:cs="Arial" w:eastAsia="Arial" w:hAnsi="Arial"/>
          <w:b/>
          <w:bCs/>
          <w:color w:val="1A1A1A"/>
          <w:sz w:val="22"/>
          <w:szCs w:val="22"/>
        </w:rPr>
        <w:t xml:space="preserve">Roy Pang</w:t>
      </w:r>
      <w:r>
        <w:rPr>
          <w:rFonts w:ascii="Arial" w:cs="Arial" w:eastAsia="Arial" w:hAnsi="Arial"/>
          <w:color w:val="1A1A1A"/>
          <w:sz w:val="22"/>
          <w:szCs w:val="22"/>
        </w:rPr>
        <w:t xml:space="preserve"> | Wealth Management Director</w:t>
      </w:r>
      <w:r>
        <w:rPr>
          <w:rFonts w:ascii="Arial" w:cs="Arial" w:eastAsia="Arial" w:hAnsi="Arial"/>
          <w:color w:val="1F7A8C"/>
          <w:sz w:val="22"/>
          <w:szCs w:val="22"/>
        </w:rPr>
        <w:t xml:space="preserve">
Altiqa Multi-Family Office</w:t>
      </w:r>
    </w:p>
    <w:p>
      <w:pPr>
        <w:spacing w:before="200" w:after="80"/>
      </w:pPr>
      <w:r>
        <w:rPr>
          <w:rFonts w:ascii="Arial" w:cs="Arial" w:eastAsia="Arial" w:hAnsi="Arial"/>
          <w:color w:val="1A1A1A"/>
          <w:sz w:val="22"/>
          <w:szCs w:val="22"/>
        </w:rPr>
        <w:t xml:space="preserve"/>
      </w:r>
    </w:p>
    <w:p>
      <w:pPr>
        <w:pBdr>
          <w:bottom w:val="single" w:color="1F7A8C" w:sz="8" w:space="1"/>
        </w:pBdr>
        <w:spacing w:before="200" w:after="200"/>
      </w:pPr>
    </w:p>
    <w:p>
      <w:pPr>
        <w:pStyle w:val="Heading1"/>
        <w:spacing w:before="320" w:after="120"/>
      </w:pPr>
      <w:r>
        <w:rPr>
          <w:rFonts w:ascii="Arial" w:cs="Arial" w:eastAsia="Arial" w:hAnsi="Arial"/>
          <w:b/>
          <w:bCs/>
          <w:color w:val="1B2E5E"/>
          <w:sz w:val="28"/>
          <w:szCs w:val="28"/>
        </w:rPr>
        <w:t xml:space="preserve">YOUR FACILITY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Borrower</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[[COMPANY FULL LEGAL NAME]]</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Facility Amount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[USD $[AMOUNT]]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Facility Term</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36 months from first disbursement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First Disbursement Date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[[DATE]]</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Maturity Date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[[DATE]]</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Interest Rate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5% APR (fixed) on drawn funds</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Moratorium Period</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N/A — interest accrues from first draw, no periodic payments required</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Conversion Option</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At maturity or qualifying trigger event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Equity Type at Conversion</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Preferred Shares</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Upfront Fees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None — all fees covered by Altiqa</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Collateral</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None required</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Your Relationship Manager</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Roy Pang | roy.pang@altiqafamilyoffice.com | +1 (212) 461-0019</w:t>
            </w:r>
          </w:p>
        </w:tc>
      </w:tr>
    </w:tbl>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HOW TO ACCESS YOUR FUNDS</w:t>
      </w:r>
    </w:p>
    <w:p>
      <w:pPr>
        <w:spacing w:before="80" w:after="80"/>
      </w:pPr>
      <w:r>
        <w:rPr>
          <w:rFonts w:ascii="Arial" w:cs="Arial" w:eastAsia="Arial" w:hAnsi="Arial"/>
          <w:color w:val="1A1A1A"/>
          <w:sz w:val="22"/>
          <w:szCs w:val="22"/>
        </w:rPr>
        <w:t xml:space="preserve">Drawing from your facility is straightforward. Here is the process:</w:t>
      </w:r>
    </w:p>
    <w:p>
      <w:pPr>
        <w:spacing w:before="60" w:after="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1. Prepare</w:t>
            </w:r>
          </w:p>
        </w:tc>
        <w:tc>
          <w:tcPr>
            <w:tcW w:type="dxa" w:w="7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Complete the Draw Request Form (attached to this package)</w:t>
            </w:r>
          </w:p>
        </w:tc>
      </w:tr>
      <w:tr>
        <w:tc>
          <w:tcPr>
            <w:tcW w:type="dxa" w:w="2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2. Submit</w:t>
            </w:r>
          </w:p>
        </w:tc>
        <w:tc>
          <w:tcPr>
            <w:tcW w:type="dxa" w:w="7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F7A8C"/>
                <w:sz w:val="22"/>
                <w:szCs w:val="22"/>
              </w:rPr>
              <w:t xml:space="preserve">Email to: roy.pang@altiqafamilyoffice.com</w:t>
            </w:r>
            <w:r>
              <w:rPr>
                <w:rFonts w:ascii="Arial" w:cs="Arial" w:eastAsia="Arial" w:hAnsi="Arial"/>
                <w:color w:val="1A1A1A"/>
                <w:sz w:val="22"/>
                <w:szCs w:val="22"/>
              </w:rPr>
              <w:t xml:space="preserve"> with subject line: "Draw Request — [Company Name] — [Date]"</w:t>
            </w:r>
          </w:p>
        </w:tc>
      </w:tr>
      <w:tr>
        <w:tc>
          <w:tcPr>
            <w:tcW w:type="dxa" w:w="2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3. Confirmation</w:t>
            </w:r>
          </w:p>
        </w:tc>
        <w:tc>
          <w:tcPr>
            <w:tcW w:type="dxa" w:w="7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Altiqa will confirm receipt and approval within 1–3 business days depending on amount</w:t>
            </w:r>
          </w:p>
        </w:tc>
      </w:tr>
      <w:tr>
        <w:tc>
          <w:tcPr>
            <w:tcW w:type="dxa" w:w="2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4. Settlement</w:t>
            </w:r>
          </w:p>
        </w:tc>
        <w:tc>
          <w:tcPr>
            <w:tcW w:type="dxa" w:w="7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Funds disbursed via Fedwire (same day) for $1M+ or ACH Credit for smaller draws</w:t>
            </w:r>
          </w:p>
        </w:tc>
      </w:tr>
      <w:tr>
        <w:tc>
          <w:tcPr>
            <w:tcW w:type="dxa" w:w="2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5. Statement</w:t>
            </w:r>
          </w:p>
        </w:tc>
        <w:tc>
          <w:tcPr>
            <w:tcW w:type="dxa" w:w="7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You will receive a disbursement confirmation and updated facility statement</w:t>
            </w:r>
          </w:p>
        </w:tc>
      </w:tr>
    </w:tbl>
    <w:p>
      <w:pPr>
        <w:spacing w:before="60" w:after="60"/>
      </w:pPr>
      <w:r>
        <w:rPr>
          <w:rFonts w:ascii="Arial" w:cs="Arial" w:eastAsia="Arial" w:hAnsi="Arial"/>
          <w:color w:val="1A1A1A"/>
          <w:sz w:val="22"/>
          <w:szCs w:val="22"/>
        </w:rPr>
        <w:t xml:space="preserve"/>
      </w:r>
    </w:p>
    <w:p>
      <w:pPr>
        <w:spacing w:before="80" w:after="80"/>
      </w:pPr>
      <w:r>
        <w:rPr>
          <w:rFonts w:ascii="Arial" w:cs="Arial" w:eastAsia="Arial" w:hAnsi="Arial"/>
          <w:b/>
          <w:bCs/>
          <w:color w:val="1A1A1A"/>
          <w:sz w:val="22"/>
          <w:szCs w:val="22"/>
        </w:rPr>
        <w:t xml:space="preserve">Minimum Draw: </w:t>
      </w:r>
      <w:r>
        <w:rPr>
          <w:b/>
          <w:bCs/>
          <w:color w:val="CC0000"/>
        </w:rPr>
        <w:t xml:space="preserve">[[USD $500,000 — CONFIRM]]</w:t>
      </w:r>
      <w:r>
        <w:rPr>
          <w:rFonts w:ascii="Arial" w:cs="Arial" w:eastAsia="Arial" w:hAnsi="Arial"/>
          <w:b/>
          <w:bCs/>
          <w:color w:val="1A1A1A"/>
          <w:sz w:val="22"/>
          <w:szCs w:val="22"/>
        </w:rPr>
        <w:t xml:space="preserve"> | Maximum Draws Per Month: </w:t>
      </w:r>
      <w:r>
        <w:rPr>
          <w:b/>
          <w:bCs/>
          <w:color w:val="CC0000"/>
        </w:rPr>
        <w:t xml:space="preserve">[[2 — CONFIRM]]</w:t>
      </w:r>
    </w:p>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YOUR REPORTING CALENDAR</w:t>
      </w:r>
    </w:p>
    <w:p>
      <w:pPr>
        <w:spacing w:before="80" w:after="80"/>
      </w:pPr>
      <w:r>
        <w:rPr>
          <w:rFonts w:ascii="Arial" w:cs="Arial" w:eastAsia="Arial" w:hAnsi="Arial"/>
          <w:color w:val="1A1A1A"/>
          <w:sz w:val="22"/>
          <w:szCs w:val="22"/>
        </w:rPr>
        <w:t xml:space="preserve">To maintain your facility in good standing, the following reporting is required:</w:t>
      </w:r>
    </w:p>
    <w:p>
      <w:pPr>
        <w:spacing w:before="60" w:after="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360"/>
        <w:gridCol w:w="3000"/>
      </w:tblGrid>
      <w:tr>
        <w:tc>
          <w:tcPr>
            <w:tcW w:type="dxa" w:w="2000"/>
            <w:tcBorders>
              <w:top w:val="single" w:color="D0D6E0" w:sz="1"/>
              <w:left w:val="single" w:color="D0D6E0" w:sz="1"/>
              <w:bottom w:val="single" w:color="D0D6E0" w:sz="1"/>
              <w:right w:val="single" w:color="D0D6E0" w:sz="1"/>
            </w:tcBorders>
            <w:shd w:fill="1B2E5E" w:val="clear"/>
            <w:tcMar>
              <w:top w:type="dxa" w:w="80"/>
              <w:left w:type="dxa" w:w="120"/>
              <w:bottom w:type="dxa" w:w="80"/>
              <w:right w:type="dxa" w:w="120"/>
            </w:tcMar>
          </w:tcPr>
          <w:p>
            <w:r>
              <w:rPr>
                <w:rFonts w:ascii="Arial" w:cs="Arial" w:eastAsia="Arial" w:hAnsi="Arial"/>
                <w:b/>
                <w:bCs/>
                <w:color w:val="FFFFFF"/>
                <w:sz w:val="20"/>
                <w:szCs w:val="20"/>
              </w:rPr>
              <w:t xml:space="preserve">FREQUENCY</w:t>
            </w:r>
          </w:p>
        </w:tc>
        <w:tc>
          <w:tcPr>
            <w:tcW w:type="dxa" w:w="4360"/>
            <w:tcBorders>
              <w:top w:val="single" w:color="D0D6E0" w:sz="1"/>
              <w:left w:val="single" w:color="D0D6E0" w:sz="1"/>
              <w:bottom w:val="single" w:color="D0D6E0" w:sz="1"/>
              <w:right w:val="single" w:color="D0D6E0" w:sz="1"/>
            </w:tcBorders>
            <w:shd w:fill="1B2E5E" w:val="clear"/>
            <w:tcMar>
              <w:top w:type="dxa" w:w="80"/>
              <w:left w:type="dxa" w:w="120"/>
              <w:bottom w:type="dxa" w:w="80"/>
              <w:right w:type="dxa" w:w="120"/>
            </w:tcMar>
          </w:tcPr>
          <w:p>
            <w:r>
              <w:rPr>
                <w:rFonts w:ascii="Arial" w:cs="Arial" w:eastAsia="Arial" w:hAnsi="Arial"/>
                <w:b/>
                <w:bCs/>
                <w:color w:val="FFFFFF"/>
                <w:sz w:val="20"/>
                <w:szCs w:val="20"/>
              </w:rPr>
              <w:t xml:space="preserve">REPORT</w:t>
            </w:r>
          </w:p>
        </w:tc>
        <w:tc>
          <w:tcPr>
            <w:tcW w:type="dxa" w:w="3000"/>
            <w:tcBorders>
              <w:top w:val="single" w:color="D0D6E0" w:sz="1"/>
              <w:left w:val="single" w:color="D0D6E0" w:sz="1"/>
              <w:bottom w:val="single" w:color="D0D6E0" w:sz="1"/>
              <w:right w:val="single" w:color="D0D6E0" w:sz="1"/>
            </w:tcBorders>
            <w:shd w:fill="1B2E5E" w:val="clear"/>
            <w:tcMar>
              <w:top w:type="dxa" w:w="80"/>
              <w:left w:type="dxa" w:w="120"/>
              <w:bottom w:type="dxa" w:w="80"/>
              <w:right w:type="dxa" w:w="120"/>
            </w:tcMar>
          </w:tcPr>
          <w:p>
            <w:r>
              <w:rPr>
                <w:rFonts w:ascii="Arial" w:cs="Arial" w:eastAsia="Arial" w:hAnsi="Arial"/>
                <w:b/>
                <w:bCs/>
                <w:color w:val="FFFFFF"/>
                <w:sz w:val="20"/>
                <w:szCs w:val="20"/>
              </w:rPr>
              <w:t xml:space="preserve">DEADLINE</w:t>
            </w:r>
          </w:p>
        </w:tc>
      </w:tr>
      <w:tr>
        <w:tc>
          <w:tcPr>
            <w:tcW w:type="dxa" w:w="200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Quarterly</w:t>
            </w:r>
          </w:p>
        </w:tc>
        <w:tc>
          <w:tcPr>
            <w:tcW w:type="dxa" w:w="4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Unaudited financial statements (P&amp;L, balance sheet, cash flow) + operational update + milestone disclosure</w:t>
            </w:r>
          </w:p>
        </w:tc>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color w:val="1A1A1A"/>
                <w:sz w:val="22"/>
                <w:szCs w:val="22"/>
              </w:rPr>
              <w:t xml:space="preserve">45 days after quarter end</w:t>
            </w:r>
          </w:p>
        </w:tc>
      </w:tr>
      <w:tr>
        <w:tc>
          <w:tcPr>
            <w:tcW w:type="dxa" w:w="200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Annual</w:t>
            </w:r>
          </w:p>
        </w:tc>
        <w:tc>
          <w:tcPr>
            <w:tcW w:type="dxa" w:w="4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Audited or reviewed annual financial statements + tax returns</w:t>
            </w:r>
          </w:p>
        </w:tc>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color w:val="1A1A1A"/>
                <w:sz w:val="22"/>
                <w:szCs w:val="22"/>
              </w:rPr>
              <w:t xml:space="preserve">120 days after fiscal year end</w:t>
            </w:r>
          </w:p>
        </w:tc>
      </w:tr>
      <w:tr>
        <w:tc>
          <w:tcPr>
            <w:tcW w:type="dxa" w:w="200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Immediate</w:t>
            </w:r>
          </w:p>
        </w:tc>
        <w:tc>
          <w:tcPr>
            <w:tcW w:type="dxa" w:w="4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Material events: litigation, ownership change, regulatory action, key person departure, change in use of funds</w:t>
            </w:r>
          </w:p>
        </w:tc>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color w:val="1A1A1A"/>
                <w:sz w:val="22"/>
                <w:szCs w:val="22"/>
              </w:rPr>
              <w:t xml:space="preserve">Within 5 business days of occurrence</w:t>
            </w:r>
          </w:p>
        </w:tc>
      </w:tr>
      <w:tr>
        <w:tc>
          <w:tcPr>
            <w:tcW w:type="dxa" w:w="200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Per draw</w:t>
            </w:r>
          </w:p>
        </w:tc>
        <w:tc>
          <w:tcPr>
            <w:tcW w:type="dxa" w:w="4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Signed Draw Request Form with no-default certification</w:t>
            </w:r>
          </w:p>
        </w:tc>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color w:val="1A1A1A"/>
                <w:sz w:val="22"/>
                <w:szCs w:val="22"/>
              </w:rPr>
              <w:t xml:space="preserve">With each draw request</w:t>
            </w:r>
          </w:p>
        </w:tc>
      </w:tr>
    </w:tbl>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WHAT ALTIQA BRINGS BEYOND CAPITAL</w:t>
      </w:r>
    </w:p>
    <w:p>
      <w:pPr>
        <w:spacing w:before="80" w:after="80"/>
      </w:pPr>
      <w:r>
        <w:rPr>
          <w:rFonts w:ascii="Arial" w:cs="Arial" w:eastAsia="Arial" w:hAnsi="Arial"/>
          <w:color w:val="1A1A1A"/>
          <w:sz w:val="22"/>
          <w:szCs w:val="22"/>
        </w:rPr>
        <w:t xml:space="preserve">As your capital partner, Altiqa offers more than just a credit facility. Over the term of your facility, you have access to:</w:t>
      </w:r>
    </w:p>
    <w:p>
      <w:pPr>
        <w:spacing w:before="60" w:after="60"/>
      </w:pPr>
      <w:r>
        <w:rPr>
          <w:rFonts w:ascii="Arial" w:cs="Arial" w:eastAsia="Arial" w:hAnsi="Arial"/>
          <w:color w:val="1A1A1A"/>
          <w:sz w:val="22"/>
          <w:szCs w:val="22"/>
        </w:rPr>
        <w:t xml:space="preserve"/>
      </w:r>
    </w:p>
    <w:p>
      <w:pPr>
        <w:pStyle w:val="ListParagraph"/>
        <w:numPr>
          <w:ilvl w:val="0"/>
          <w:numId w:val="2"/>
        </w:numPr>
        <w:spacing w:before="40" w:after="40"/>
      </w:pPr>
      <w:r>
        <w:rPr>
          <w:rFonts w:ascii="Arial" w:cs="Arial" w:eastAsia="Arial" w:hAnsi="Arial"/>
          <w:color w:val="1A1A1A"/>
          <w:sz w:val="22"/>
          <w:szCs w:val="22"/>
        </w:rPr>
        <w:t xml:space="preserve">Global network introductions — industry leaders, strategic partners, and distributors across the US, EU, and Asia</w:t>
      </w:r>
    </w:p>
    <w:p>
      <w:pPr>
        <w:pStyle w:val="ListParagraph"/>
        <w:numPr>
          <w:ilvl w:val="0"/>
          <w:numId w:val="2"/>
        </w:numPr>
        <w:spacing w:before="40" w:after="40"/>
      </w:pPr>
      <w:r>
        <w:rPr>
          <w:rFonts w:ascii="Arial" w:cs="Arial" w:eastAsia="Arial" w:hAnsi="Arial"/>
          <w:color w:val="1A1A1A"/>
          <w:sz w:val="22"/>
          <w:szCs w:val="22"/>
        </w:rPr>
        <w:t xml:space="preserve">Wealth management advisory — guidance on financial strategy, capital structure, and growth planning</w:t>
      </w:r>
    </w:p>
    <w:p>
      <w:pPr>
        <w:pStyle w:val="ListParagraph"/>
        <w:numPr>
          <w:ilvl w:val="0"/>
          <w:numId w:val="2"/>
        </w:numPr>
        <w:spacing w:before="40" w:after="40"/>
      </w:pPr>
      <w:r>
        <w:rPr>
          <w:rFonts w:ascii="Arial" w:cs="Arial" w:eastAsia="Arial" w:hAnsi="Arial"/>
          <w:color w:val="1A1A1A"/>
          <w:sz w:val="22"/>
          <w:szCs w:val="22"/>
        </w:rPr>
        <w:t xml:space="preserve">Operational expertise — hands-on support in scaling, optimizing financial performance, and navigating complex markets</w:t>
      </w:r>
    </w:p>
    <w:p>
      <w:pPr>
        <w:pStyle w:val="ListParagraph"/>
        <w:numPr>
          <w:ilvl w:val="0"/>
          <w:numId w:val="2"/>
        </w:numPr>
        <w:spacing w:before="40" w:after="40"/>
      </w:pPr>
      <w:r>
        <w:rPr>
          <w:rFonts w:ascii="Arial" w:cs="Arial" w:eastAsia="Arial" w:hAnsi="Arial"/>
          <w:color w:val="1A1A1A"/>
          <w:sz w:val="22"/>
          <w:szCs w:val="22"/>
        </w:rPr>
        <w:t xml:space="preserve">Co-investment opportunities — access to follow-on capital and co-investors for future rounds</w:t>
      </w:r>
    </w:p>
    <w:p>
      <w:pPr>
        <w:pStyle w:val="ListParagraph"/>
        <w:numPr>
          <w:ilvl w:val="0"/>
          <w:numId w:val="2"/>
        </w:numPr>
        <w:spacing w:before="40" w:after="40"/>
      </w:pPr>
      <w:r>
        <w:rPr>
          <w:rFonts w:ascii="Arial" w:cs="Arial" w:eastAsia="Arial" w:hAnsi="Arial"/>
          <w:color w:val="1A1A1A"/>
          <w:sz w:val="22"/>
          <w:szCs w:val="22"/>
        </w:rPr>
        <w:t xml:space="preserve">Private aviation — Altiqa can provide transportation for key meetings via Cessna Citation X where required</w:t>
      </w:r>
    </w:p>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YOUR KEY CONTACTS AT ALTIQA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Relationship Manager</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Roy Pang — Wealth Management Director</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Direct Email</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roy.pang@altiqafamilyoffice.com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General Inquiries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investments@altiqafamilyoffice.com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Main Line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+1 (212) 461-0019</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New York Office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One Manhattan West, 401 9th Avenue, New York, NY 10001</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Principal Office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74 Boulevard d'Italie, Building E/F, Monte Carlo, 98000, Monaco</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Website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www.altiqafamilyoffice.com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Escalation Contact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[[SENIOR CONTACT NAME &amp; EMAIL — PLACEHOLDER]]</w:t>
            </w:r>
          </w:p>
        </w:tc>
      </w:tr>
    </w:tbl>
    <w:p>
      <w:pPr>
        <w:spacing w:before="200" w:after="80"/>
      </w:pPr>
      <w:r>
        <w:rPr>
          <w:rFonts w:ascii="Arial" w:cs="Arial" w:eastAsia="Arial" w:hAnsi="Arial"/>
          <w:color w:val="1A1A1A"/>
          <w:sz w:val="22"/>
          <w:szCs w:val="22"/>
        </w:rPr>
        <w:t xml:space="preserve"/>
      </w:r>
    </w:p>
    <w:p>
      <w:pPr>
        <w:pStyle w:val="Heading1"/>
        <w:spacing w:before="320" w:after="120"/>
      </w:pPr>
      <w:r>
        <w:rPr>
          <w:rFonts w:ascii="Arial" w:cs="Arial" w:eastAsia="Arial" w:hAnsi="Arial"/>
          <w:b/>
          <w:bCs/>
          <w:color w:val="1B2E5E"/>
          <w:sz w:val="28"/>
          <w:szCs w:val="28"/>
        </w:rPr>
        <w:t xml:space="preserve">DOCUMENTS IN YOUR CLOSING PACKAGE</w:t>
      </w:r>
    </w:p>
    <w:p>
      <w:pPr>
        <w:spacing w:before="80" w:after="80"/>
      </w:pPr>
      <w:r>
        <w:rPr>
          <w:rFonts w:ascii="Arial" w:cs="Arial" w:eastAsia="Arial" w:hAnsi="Arial"/>
          <w:color w:val="1A1A1A"/>
          <w:sz w:val="22"/>
          <w:szCs w:val="22"/>
        </w:rPr>
        <w:t xml:space="preserve">The following documents have been provided to you as part of your facility closing:</w:t>
      </w:r>
    </w:p>
    <w:p>
      <w:pPr>
        <w:spacing w:before="60" w:after="60"/>
      </w:pPr>
      <w:r>
        <w:rPr>
          <w:rFonts w:ascii="Arial" w:cs="Arial" w:eastAsia="Arial" w:hAnsi="Arial"/>
          <w:color w:val="1A1A1A"/>
          <w:sz w:val="22"/>
          <w:szCs w:val="22"/>
        </w:rPr>
        <w:t xml:space="preserve"/>
      </w:r>
    </w:p>
    <w:p>
      <w:pPr>
        <w:pStyle w:val="ListParagraph"/>
        <w:numPr>
          <w:ilvl w:val="0"/>
          <w:numId w:val="2"/>
        </w:numPr>
        <w:spacing w:before="40" w:after="40"/>
      </w:pPr>
      <w:r>
        <w:rPr>
          <w:rFonts w:ascii="Arial" w:cs="Arial" w:eastAsia="Arial" w:hAnsi="Arial"/>
          <w:color w:val="1A1A1A"/>
          <w:sz w:val="22"/>
          <w:szCs w:val="22"/>
        </w:rPr>
        <w:t xml:space="preserve">Mutual Non-Disclosure Agreement (executed)</w:t>
      </w:r>
    </w:p>
    <w:p>
      <w:pPr>
        <w:pStyle w:val="ListParagraph"/>
        <w:numPr>
          <w:ilvl w:val="0"/>
          <w:numId w:val="2"/>
        </w:numPr>
        <w:spacing w:before="40" w:after="40"/>
      </w:pPr>
      <w:r>
        <w:rPr>
          <w:rFonts w:ascii="Arial" w:cs="Arial" w:eastAsia="Arial" w:hAnsi="Arial"/>
          <w:color w:val="1A1A1A"/>
          <w:sz w:val="22"/>
          <w:szCs w:val="22"/>
        </w:rPr>
        <w:t xml:space="preserve">Term Sheet (executed)</w:t>
      </w:r>
    </w:p>
    <w:p>
      <w:pPr>
        <w:pStyle w:val="ListParagraph"/>
        <w:numPr>
          <w:ilvl w:val="0"/>
          <w:numId w:val="2"/>
        </w:numPr>
        <w:spacing w:before="40" w:after="40"/>
      </w:pPr>
      <w:r>
        <w:rPr>
          <w:rFonts w:ascii="Arial" w:cs="Arial" w:eastAsia="Arial" w:hAnsi="Arial"/>
          <w:color w:val="1A1A1A"/>
          <w:sz w:val="22"/>
          <w:szCs w:val="22"/>
        </w:rPr>
        <w:t xml:space="preserve">Credit Financing Agreement (executed)</w:t>
      </w:r>
    </w:p>
    <w:p>
      <w:pPr>
        <w:pStyle w:val="ListParagraph"/>
        <w:numPr>
          <w:ilvl w:val="0"/>
          <w:numId w:val="2"/>
        </w:numPr>
        <w:spacing w:before="40" w:after="40"/>
      </w:pPr>
      <w:r>
        <w:rPr>
          <w:rFonts w:ascii="Arial" w:cs="Arial" w:eastAsia="Arial" w:hAnsi="Arial"/>
          <w:color w:val="1A1A1A"/>
          <w:sz w:val="22"/>
          <w:szCs w:val="22"/>
        </w:rPr>
        <w:t xml:space="preserve">Convertible Promissory Note (executed)</w:t>
      </w:r>
    </w:p>
    <w:p>
      <w:pPr>
        <w:pStyle w:val="ListParagraph"/>
        <w:numPr>
          <w:ilvl w:val="0"/>
          <w:numId w:val="2"/>
        </w:numPr>
        <w:spacing w:before="40" w:after="40"/>
      </w:pPr>
      <w:r>
        <w:rPr>
          <w:rFonts w:ascii="Arial" w:cs="Arial" w:eastAsia="Arial" w:hAnsi="Arial"/>
          <w:color w:val="1A1A1A"/>
          <w:sz w:val="22"/>
          <w:szCs w:val="22"/>
        </w:rPr>
        <w:t xml:space="preserve">Conversion Agreement (template — for use at conversion)</w:t>
      </w:r>
    </w:p>
    <w:p>
      <w:pPr>
        <w:pStyle w:val="ListParagraph"/>
        <w:numPr>
          <w:ilvl w:val="0"/>
          <w:numId w:val="2"/>
        </w:numPr>
        <w:spacing w:before="40" w:after="40"/>
      </w:pPr>
      <w:r>
        <w:rPr>
          <w:rFonts w:ascii="Arial" w:cs="Arial" w:eastAsia="Arial" w:hAnsi="Arial"/>
          <w:color w:val="1A1A1A"/>
          <w:sz w:val="22"/>
          <w:szCs w:val="22"/>
        </w:rPr>
        <w:t xml:space="preserve">Payment Rail Instructions</w:t>
      </w:r>
    </w:p>
    <w:p>
      <w:pPr>
        <w:pStyle w:val="ListParagraph"/>
        <w:numPr>
          <w:ilvl w:val="0"/>
          <w:numId w:val="2"/>
        </w:numPr>
        <w:spacing w:before="40" w:after="40"/>
      </w:pPr>
      <w:r>
        <w:rPr>
          <w:rFonts w:ascii="Arial" w:cs="Arial" w:eastAsia="Arial" w:hAnsi="Arial"/>
          <w:color w:val="1A1A1A"/>
          <w:sz w:val="22"/>
          <w:szCs w:val="22"/>
        </w:rPr>
        <w:t xml:space="preserve">Draw Request Form (template)</w:t>
      </w:r>
    </w:p>
    <w:p>
      <w:pPr>
        <w:pStyle w:val="ListParagraph"/>
        <w:numPr>
          <w:ilvl w:val="0"/>
          <w:numId w:val="2"/>
        </w:numPr>
        <w:spacing w:before="40" w:after="40"/>
      </w:pPr>
      <w:r>
        <w:rPr>
          <w:rFonts w:ascii="Arial" w:cs="Arial" w:eastAsia="Arial" w:hAnsi="Arial"/>
          <w:color w:val="1A1A1A"/>
          <w:sz w:val="22"/>
          <w:szCs w:val="22"/>
        </w:rPr>
        <w:t xml:space="preserve">Due Diligence Checklist (for your records)</w:t>
      </w:r>
    </w:p>
    <w:p>
      <w:pPr>
        <w:pStyle w:val="ListParagraph"/>
        <w:numPr>
          <w:ilvl w:val="0"/>
          <w:numId w:val="2"/>
        </w:numPr>
        <w:spacing w:before="40" w:after="40"/>
      </w:pPr>
      <w:r>
        <w:rPr>
          <w:rFonts w:ascii="Arial" w:cs="Arial" w:eastAsia="Arial" w:hAnsi="Arial"/>
          <w:color w:val="1A1A1A"/>
          <w:sz w:val="22"/>
          <w:szCs w:val="22"/>
        </w:rPr>
        <w:t xml:space="preserve">This Borrower Welcome Package</w:t>
      </w:r>
    </w:p>
    <w:p>
      <w:pPr>
        <w:spacing w:before="200" w:after="80"/>
      </w:pPr>
      <w:r>
        <w:rPr>
          <w:rFonts w:ascii="Arial" w:cs="Arial" w:eastAsia="Arial" w:hAnsi="Arial"/>
          <w:color w:val="1A1A1A"/>
          <w:sz w:val="22"/>
          <w:szCs w:val="22"/>
        </w:rPr>
        <w:t xml:space="preserve"/>
      </w:r>
    </w:p>
    <w:p>
      <w:pPr>
        <w:pBdr>
          <w:bottom w:val="single" w:color="C8963E" w:sz="8" w:space="1"/>
        </w:pBdr>
        <w:spacing w:before="200" w:after="200"/>
      </w:pPr>
    </w:p>
    <w:p>
      <w:pPr>
        <w:spacing w:before="200" w:after="80"/>
        <w:jc w:val="center"/>
      </w:pPr>
      <w:r>
        <w:rPr>
          <w:rFonts w:ascii="Arial" w:cs="Arial" w:eastAsia="Arial" w:hAnsi="Arial"/>
          <w:i/>
          <w:iCs/>
          <w:color w:val="1B2E5E"/>
          <w:sz w:val="24"/>
          <w:szCs w:val="24"/>
        </w:rPr>
        <w:t xml:space="preserve">"We view each financing as the beginning of a relationship, not a transaction."</w:t>
      </w:r>
    </w:p>
    <w:p>
      <w:pPr>
        <w:spacing w:before="0" w:after="200"/>
        <w:jc w:val="center"/>
      </w:pPr>
      <w:r>
        <w:rPr>
          <w:rFonts w:ascii="Arial" w:cs="Arial" w:eastAsia="Arial" w:hAnsi="Arial"/>
          <w:color w:val="1F7A8C"/>
          <w:sz w:val="20"/>
          <w:szCs w:val="20"/>
        </w:rPr>
        <w:t xml:space="preserve">— Altiqa Multi-Family Office</w:t>
      </w:r>
    </w:p>
    <w:p>
      <w:pPr>
        <w:pBdr>
          <w:bottom w:val="single" w:color="C8963E" w:sz="8" w:space="1"/>
        </w:pBdr>
        <w:spacing w:before="200" w:after="200"/>
      </w:pPr>
    </w:p>
    <w:p>
      <w:pPr>
        <w:spacing w:before="80" w:after="40"/>
      </w:pPr>
      <w:r>
        <w:rPr>
          <w:rFonts w:ascii="Arial" w:cs="Arial" w:eastAsia="Arial" w:hAnsi="Arial"/>
          <w:color w:val="1A1A1A"/>
          <w:sz w:val="22"/>
          <w:szCs w:val="22"/>
        </w:rPr>
        <w:t xml:space="preserve"/>
      </w:r>
    </w:p>
    <w:p>
      <w:pPr>
        <w:spacing w:before="80" w:after="80"/>
      </w:pPr>
      <w:r>
        <w:rPr>
          <w:rFonts w:ascii="Arial" w:cs="Arial" w:eastAsia="Arial" w:hAnsi="Arial"/>
          <w:i/>
          <w:iCs/>
          <w:color w:val="888888"/>
          <w:sz w:val="18"/>
          <w:szCs w:val="18"/>
        </w:rPr>
        <w:t xml:space="preserve">CONFIDENTIAL. This Welcome Package is issued to the named Borrower only and contains proprietary and confidential information. All terms are subject to the executed facility documentation.</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6E0" w:sz="4" w:space="1"/>
      </w:pBdr>
      <w:tabs>
        <w:tab w:val="center" w:pos="4680"/>
        <w:tab w:val="right" w:pos="9360"/>
      </w:tabs>
      <w:spacing w:before="120" w:after="0"/>
    </w:pPr>
    <w:r>
      <w:rPr>
        <w:rFonts w:ascii="Arial" w:cs="Arial" w:eastAsia="Arial" w:hAnsi="Arial"/>
        <w:color w:val="888888"/>
        <w:sz w:val="16"/>
        <w:szCs w:val="16"/>
      </w:rPr>
      <w:t xml:space="preserve">Altiqa Multi-Family Office Pte. Ltd.</w:t>
    </w:r>
    <w:r>
      <w:rPr>
        <w:rFonts w:ascii="Arial" w:cs="Arial" w:eastAsia="Arial" w:hAnsi="Arial"/>
        <w:color w:val="888888"/>
        <w:sz w:val="16"/>
        <w:szCs w:val="16"/>
      </w:rPr>
      <w:t xml:space="preserve">	Borrower Welcome Package	</w:t>
    </w:r>
    <w:r>
      <w:rPr>
        <w:rFonts w:ascii="Arial" w:cs="Arial" w:eastAsia="Arial" w:hAnsi="Arial"/>
        <w:color w:val="888888"/>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2E5E" w:sz="4" w:space="1"/>
      </w:pBdr>
      <w:spacing w:before="0" w:after="160"/>
      <w:jc w:val="right"/>
    </w:pPr>
    <w:r>
      <w:rPr>
        <w:rFonts w:ascii="Arial" w:cs="Arial" w:eastAsia="Arial" w:hAnsi="Arial"/>
        <w:b/>
        <w:bCs/>
        <w:color w:val="1F7A8C"/>
        <w:sz w:val="16"/>
        <w:szCs w:val="16"/>
      </w:rPr>
      <w:t xml:space="preserve">ALTIQA MULTI-FAMILY OFFICE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rFonts w:ascii="Arial" w:cs="Arial" w:eastAsia="Arial" w:hAnsi="Arial"/>
      <w:b/>
      <w:bCs/>
      <w:color w:val="1B2E5E"/>
      <w:sz w:val="28"/>
      <w:szCs w:val="28"/>
    </w:rPr>
  </w:style>
  <w:style w:type="paragraph" w:styleId="Heading2">
    <w:name w:val="Heading 2"/>
    <w:basedOn w:val="Normal"/>
    <w:next w:val="Normal"/>
    <w:qFormat/>
    <w:pPr>
      <w:spacing w:before="240" w:after="100"/>
      <w:outlineLvl w:val="1"/>
    </w:pPr>
    <w:rPr>
      <w:rFonts w:ascii="Arial" w:cs="Arial" w:eastAsia="Arial" w:hAnsi="Arial"/>
      <w:b/>
      <w:bCs/>
      <w:color w:val="1F7A8C"/>
      <w:sz w:val="24"/>
      <w:szCs w:val="24"/>
    </w:rPr>
  </w:style>
  <w:style w:type="paragraph" w:styleId="Heading3">
    <w:name w:val="Heading 3"/>
    <w:basedOn w:val="Normal"/>
    <w:next w:val="Normal"/>
    <w:qFormat/>
    <w:pPr>
      <w:spacing w:before="180" w:after="80"/>
      <w:outlineLvl w:val="2"/>
    </w:pPr>
    <w:rPr>
      <w:rFonts w:ascii="Arial" w:cs="Arial" w:eastAsia="Arial" w:hAnsi="Arial"/>
      <w:b/>
      <w:bCs/>
      <w:color w:val="C8963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2026-03-29T12:49:31.472Z</dcterms:created>
  <dcterms:modified xsi:type="dcterms:W3CDTF">2026-03-29T12:49:31.472Z</dcterms:modified>
</cp:coreProperties>
</file>

<file path=docProps/custom.xml><?xml version="1.0" encoding="utf-8"?>
<Properties xmlns="http://schemas.openxmlformats.org/officeDocument/2006/custom-properties" xmlns:vt="http://schemas.openxmlformats.org/officeDocument/2006/docPropsVTypes"/>
</file>