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80" w:after="160"/>
        <w:jc w:val="center"/>
      </w:pPr>
      <w:r>
        <w:rPr>
          <w:rFonts w:ascii="Arial" w:cs="Arial" w:eastAsia="Arial" w:hAnsi="Arial"/>
          <w:b/>
          <w:bCs/>
          <w:color w:val="1B2E5E"/>
          <w:sz w:val="40"/>
          <w:szCs w:val="40"/>
        </w:rPr>
        <w:t xml:space="preserve">CONVERSION AGREEMENT</w:t>
      </w:r>
    </w:p>
    <w:p>
      <w:pPr>
        <w:spacing w:before="0" w:after="120"/>
        <w:jc w:val="center"/>
      </w:pPr>
      <w:r>
        <w:rPr>
          <w:rFonts w:ascii="Arial" w:cs="Arial" w:eastAsia="Arial" w:hAnsi="Arial"/>
          <w:i/>
          <w:iCs/>
          <w:color w:val="1F7A8C"/>
          <w:sz w:val="24"/>
          <w:szCs w:val="24"/>
        </w:rPr>
        <w:t xml:space="preserve">Equity Conversion of Convertible Line of Credit</w:t>
      </w:r>
    </w:p>
    <w:p>
      <w:pPr>
        <w:spacing w:before="0" w:after="480"/>
        <w:jc w:val="center"/>
      </w:pPr>
      <w:r>
        <w:rPr>
          <w:rFonts w:ascii="Arial" w:cs="Arial" w:eastAsia="Arial" w:hAnsi="Arial"/>
          <w:color w:val="888888"/>
          <w:sz w:val="20"/>
          <w:szCs w:val="20"/>
        </w:rPr>
        <w:t xml:space="preserve">Conversion Date: [INSERT DATE]</w:t>
      </w:r>
    </w:p>
    <w:p>
      <w:pPr>
        <w:pBdr>
          <w:bottom w:val="single" w:color="1B2E5E" w:sz="8" w:space="1"/>
        </w:pBdr>
        <w:spacing w:before="200" w:after="200"/>
      </w:pP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This Conversion Agreement ("Agreement") is entered into as of </w:t>
      </w:r>
      <w:r>
        <w:rPr>
          <w:b/>
          <w:bCs/>
          <w:color w:val="CC0000"/>
        </w:rPr>
        <w:t xml:space="preserve">[[CONVERSION DATE]]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, by and between:</w:t>
      </w:r>
    </w:p>
    <w:p>
      <w:pPr>
        <w:spacing w:before="60"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Lender / Incoming Shareholder: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Altiqa Multi-Family Office Pte. Ltd. ("Altiqa")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Company / Issuer: </w:t>
      </w:r>
      <w:r>
        <w:rPr>
          <w:b/>
          <w:bCs/>
          <w:color w:val="CC0000"/>
        </w:rPr>
        <w:t xml:space="preserve">[[BORROWER FULL LEGAL NAME]]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 ("Company")</w:t>
      </w: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WHEREAS, Altiqa advanced capital to the Company under a Convertible Line of Credit pursuant to a Credit Financing Agreement dated </w:t>
      </w:r>
      <w:r>
        <w:rPr>
          <w:b/>
          <w:bCs/>
          <w:color w:val="CC0000"/>
        </w:rPr>
        <w:t xml:space="preserve">[[DATE]]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 and Convertible Promissory Note dated </w:t>
      </w:r>
      <w:r>
        <w:rPr>
          <w:b/>
          <w:bCs/>
          <w:color w:val="CC0000"/>
        </w:rPr>
        <w:t xml:space="preserve">[[DATE]]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 (together, the "Facility Documents");</w:t>
      </w: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WHEREAS, a Conversion Event has occurred, being: </w:t>
      </w:r>
      <w:r>
        <w:rPr>
          <w:b/>
          <w:bCs/>
          <w:color w:val="CC0000"/>
        </w:rPr>
        <w:t xml:space="preserve">[[DESCRIBE TRIGGER — e.g. Maturity Date reached / Qualified Financing Round / Mutual Agreement]]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;</w:t>
      </w: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NOW THEREFORE, the Parties agree to convert the outstanding facility balance to equity on the following terms:</w:t>
      </w:r>
    </w:p>
    <w:p>
      <w:pPr>
        <w:pStyle w:val="Heading1"/>
        <w:spacing w:before="320" w:after="120"/>
      </w:pPr>
      <w:r>
        <w:rPr>
          <w:rFonts w:ascii="Arial" w:cs="Arial" w:eastAsia="Arial" w:hAnsi="Arial"/>
          <w:b/>
          <w:bCs/>
          <w:color w:val="1B2E5E"/>
          <w:sz w:val="28"/>
          <w:szCs w:val="28"/>
        </w:rPr>
        <w:t xml:space="preserve">1. CONVERSION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Outstanding Principal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[USD $[AMOUNT]]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Accrued Interest (if any)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[USD $[AMOUNT] — interest accrued at 5% APR on drawn amounts]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Total Converting Amount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[USD $[TOTAL]]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Conversion Date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[[DATE]]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Conversion Trigger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[[MATURITY / QUALIFIED ROUND / MUTUAL AGREEMENT / OTHER]]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Pre-Money Valuation at Conversion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[USD $[AMOUNT] — per independent valuation by [FIRM NAME]]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Valuation Cap Applied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[USD $[CAP AMOUNT] [YES/NO]]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Discount Applied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No discount to independent third-party valuation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Conversion Price Per Share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[USD $[PRICE] per Preferred Share]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Shares to Be Issued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[[NUMBER] Preferred Shares]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Resulting Ownership %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CC0000"/>
              </w:rPr>
              <w:t xml:space="preserve">[[X]% of fully diluted capitalization post-conversion]</w:t>
            </w:r>
          </w:p>
        </w:tc>
      </w:tr>
      <w:tr>
        <w:tc>
          <w:tcPr>
            <w:tcW w:type="dxa" w:w="300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Share Class</w:t>
            </w:r>
          </w:p>
        </w:tc>
        <w:tc>
          <w:tcPr>
            <w:tcW w:type="dxa" w:w="6360"/>
            <w:tcBorders>
              <w:top w:val="single" w:color="D0D6E0" w:sz="1"/>
              <w:left w:val="single" w:color="D0D6E0" w:sz="1"/>
              <w:bottom w:val="single" w:color="D0D6E0" w:sz="1"/>
              <w:right w:val="single" w:color="D0D6E0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Preferred Shares</w:t>
            </w:r>
          </w:p>
        </w:tc>
      </w:tr>
    </w:tbl>
    <w:p>
      <w:pPr>
        <w:pStyle w:val="Heading1"/>
        <w:spacing w:before="320" w:after="120"/>
      </w:pPr>
      <w:r>
        <w:rPr>
          <w:rFonts w:ascii="Arial" w:cs="Arial" w:eastAsia="Arial" w:hAnsi="Arial"/>
          <w:b/>
          <w:bCs/>
          <w:color w:val="1B2E5E"/>
          <w:sz w:val="28"/>
          <w:szCs w:val="28"/>
        </w:rPr>
        <w:t xml:space="preserve">2. MECHANICS OF CONVERSION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2.1 Surrender of Note.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Altiqa hereby surrenders the Convertible Promissory Note dated </w:t>
      </w:r>
      <w:r>
        <w:rPr>
          <w:b/>
          <w:bCs/>
          <w:color w:val="CC0000"/>
        </w:rPr>
        <w:t xml:space="preserve">[[DATE]]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 in exchange for the equity issued hereunder. Upon issuance of shares, the Note shall be deemed cancelled and of no further force or effect.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2.2 Issuance of Shares.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The Company shall issue </w:t>
      </w:r>
      <w:r>
        <w:rPr>
          <w:b/>
          <w:bCs/>
          <w:color w:val="CC0000"/>
        </w:rPr>
        <w:t xml:space="preserve">[[NUMBER]]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 Preferred Shares to Altiqa within 10 business days of the Conversion Date, and shall deliver share certificates or equivalent documentation.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2.3 Cap Table Update.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The Company shall update its cap table to reflect Altiqa's ownership and provide a copy to Altiqa within 10 business days of the Conversion Date.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2.4 Shareholder Agreement.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Altiqa shall be admitted as a shareholder and the Shareholders Agreement shall be amended to reflect Altiqa's rights as set forth in Section 3.</w:t>
      </w:r>
    </w:p>
    <w:p>
      <w:pPr>
        <w:pStyle w:val="Heading1"/>
        <w:spacing w:before="320" w:after="120"/>
      </w:pPr>
      <w:r>
        <w:rPr>
          <w:rFonts w:ascii="Arial" w:cs="Arial" w:eastAsia="Arial" w:hAnsi="Arial"/>
          <w:b/>
          <w:bCs/>
          <w:color w:val="1B2E5E"/>
          <w:sz w:val="28"/>
          <w:szCs w:val="28"/>
        </w:rPr>
        <w:t xml:space="preserve">3. RIGHTS OF ALTIQA POST-CONVERSION</w:t>
      </w:r>
    </w:p>
    <w:p>
      <w:pPr>
        <w:pStyle w:val="Heading2"/>
        <w:spacing w:before="240" w:after="100"/>
      </w:pPr>
      <w:r>
        <w:rPr>
          <w:rFonts w:ascii="Arial" w:cs="Arial" w:eastAsia="Arial" w:hAnsi="Arial"/>
          <w:b/>
          <w:bCs/>
          <w:color w:val="1F7A8C"/>
          <w:sz w:val="24"/>
          <w:szCs w:val="24"/>
        </w:rPr>
        <w:t xml:space="preserve">3.1 Economic Rights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Liquidation preference: 1x non-participating on the Conversion Amount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Pro-rata participation in future equity financing rounds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Anti-dilution protection: broad-based weighted average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Tag-along rights: right to sell shares pro-rata in any third-party sale</w:t>
      </w:r>
    </w:p>
    <w:p>
      <w:pPr>
        <w:pStyle w:val="Heading2"/>
        <w:spacing w:before="240" w:after="100"/>
      </w:pPr>
      <w:r>
        <w:rPr>
          <w:rFonts w:ascii="Arial" w:cs="Arial" w:eastAsia="Arial" w:hAnsi="Arial"/>
          <w:b/>
          <w:bCs/>
          <w:color w:val="1F7A8C"/>
          <w:sz w:val="24"/>
          <w:szCs w:val="24"/>
        </w:rPr>
        <w:t xml:space="preserve">3.2 Information Rights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Quarterly unaudited financial statements within 45 days of quarter end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Annual audited financial statements within 120 days of fiscal year end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Prompt notice of any material events, litigation, or regulatory actions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Cap table updates following any new issuance or transfer</w:t>
      </w:r>
    </w:p>
    <w:p>
      <w:pPr>
        <w:pStyle w:val="Heading2"/>
        <w:spacing w:before="240" w:after="100"/>
      </w:pPr>
      <w:r>
        <w:rPr>
          <w:rFonts w:ascii="Arial" w:cs="Arial" w:eastAsia="Arial" w:hAnsi="Arial"/>
          <w:b/>
          <w:bCs/>
          <w:color w:val="1F7A8C"/>
          <w:sz w:val="24"/>
          <w:szCs w:val="24"/>
        </w:rPr>
        <w:t xml:space="preserve">3.3 Governance Rights</w:t>
      </w:r>
    </w:p>
    <w:p>
      <w:pPr>
        <w:spacing w:before="80" w:after="80"/>
      </w:pPr>
      <w:r>
        <w:rPr>
          <w:b/>
          <w:bCs/>
          <w:color w:val="CC0000"/>
        </w:rPr>
        <w:t xml:space="preserve">[[Board Observer Seat: Altiqa shall be entitled to appoint one (1) non-voting observer to the Board of Directors — CONFIRM YES/NO]]</w:t>
      </w:r>
    </w:p>
    <w:p>
      <w:pPr>
        <w:spacing w:before="80" w:after="80"/>
      </w:pPr>
      <w:r>
        <w:rPr>
          <w:b/>
          <w:bCs/>
          <w:color w:val="CC0000"/>
        </w:rPr>
        <w:t xml:space="preserve">[[Protective Provisions: List any consent rights Altiqa retains post-conversion — TO BE AGREED]]</w:t>
      </w:r>
    </w:p>
    <w:p>
      <w:pPr>
        <w:pStyle w:val="Heading2"/>
        <w:spacing w:before="240" w:after="100"/>
      </w:pPr>
      <w:r>
        <w:rPr>
          <w:rFonts w:ascii="Arial" w:cs="Arial" w:eastAsia="Arial" w:hAnsi="Arial"/>
          <w:b/>
          <w:bCs/>
          <w:color w:val="1F7A8C"/>
          <w:sz w:val="24"/>
          <w:szCs w:val="24"/>
        </w:rPr>
        <w:t xml:space="preserve">3.4 Transfer Restrictions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Lock-Up. </w:t>
      </w:r>
      <w:r>
        <w:rPr>
          <w:b/>
          <w:bCs/>
          <w:color w:val="CC0000"/>
        </w:rPr>
        <w:t xml:space="preserve">[[Altiqa agrees not to transfer its shares for a period of [X] months following the Conversion Date without the prior written consent of the Company — CONFIRM LOCK-UP PERIOD]]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Right of First Refusal.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Prior to any transfer of shares, Altiqa shall first offer the shares to the Company and existing shareholders on the same terms.</w:t>
      </w:r>
    </w:p>
    <w:p>
      <w:pPr>
        <w:pStyle w:val="Heading1"/>
        <w:spacing w:before="320" w:after="120"/>
      </w:pPr>
      <w:r>
        <w:rPr>
          <w:rFonts w:ascii="Arial" w:cs="Arial" w:eastAsia="Arial" w:hAnsi="Arial"/>
          <w:b/>
          <w:bCs/>
          <w:color w:val="1B2E5E"/>
          <w:sz w:val="28"/>
          <w:szCs w:val="28"/>
        </w:rPr>
        <w:t xml:space="preserve">4. REPRESENTATIONS AND WARRANTIES</w:t>
      </w:r>
    </w:p>
    <w:p>
      <w:pPr>
        <w:pStyle w:val="Heading2"/>
        <w:spacing w:before="240" w:after="100"/>
      </w:pPr>
      <w:r>
        <w:rPr>
          <w:rFonts w:ascii="Arial" w:cs="Arial" w:eastAsia="Arial" w:hAnsi="Arial"/>
          <w:b/>
          <w:bCs/>
          <w:color w:val="1F7A8C"/>
          <w:sz w:val="24"/>
          <w:szCs w:val="24"/>
        </w:rPr>
        <w:t xml:space="preserve">4.1 By the Company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shares are duly authorized, validly issued, fully paid, and non-assessable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Issuance of shares has been duly authorized by the Board and shareholders as required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cap table provided is accurate and complete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 preemptive rights or other rights of first refusal apply to this issuance</w:t>
      </w:r>
    </w:p>
    <w:p>
      <w:pPr>
        <w:pStyle w:val="Heading2"/>
        <w:spacing w:before="240" w:after="100"/>
      </w:pPr>
      <w:r>
        <w:rPr>
          <w:rFonts w:ascii="Arial" w:cs="Arial" w:eastAsia="Arial" w:hAnsi="Arial"/>
          <w:b/>
          <w:bCs/>
          <w:color w:val="1F7A8C"/>
          <w:sz w:val="24"/>
          <w:szCs w:val="24"/>
        </w:rPr>
        <w:t xml:space="preserve">4.2 By Altiqa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Altiqa is acquiring the shares for its own account, for investment purposes only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Altiqa is an accredited investor within the meaning of Regulation D under the Securities Act of 1933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Altiqa understands that the shares are not registered under U.S. securities laws and are subject to transfer restrictions</w:t>
      </w:r>
    </w:p>
    <w:p>
      <w:pPr>
        <w:pStyle w:val="Heading1"/>
        <w:spacing w:before="320" w:after="120"/>
      </w:pPr>
      <w:r>
        <w:rPr>
          <w:rFonts w:ascii="Arial" w:cs="Arial" w:eastAsia="Arial" w:hAnsi="Arial"/>
          <w:b/>
          <w:bCs/>
          <w:color w:val="1B2E5E"/>
          <w:sz w:val="28"/>
          <w:szCs w:val="28"/>
        </w:rPr>
        <w:t xml:space="preserve">5. SECURITIES LAW COMPLIANCE</w:t>
      </w:r>
    </w:p>
    <w:p>
      <w:pPr>
        <w:spacing w:before="80" w:after="8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conversion and issuance of shares hereunder is being made in reliance upon exemptions from registration under applicable U.S. securities laws, including Regulation D under the Securities Act of 1933. The Company shall file any required Form D or similar regulatory notice within the applicable time period.</w:t>
      </w:r>
    </w:p>
    <w:p>
      <w:pPr>
        <w:pStyle w:val="Heading1"/>
        <w:spacing w:before="320" w:after="120"/>
      </w:pPr>
      <w:r>
        <w:rPr>
          <w:rFonts w:ascii="Arial" w:cs="Arial" w:eastAsia="Arial" w:hAnsi="Arial"/>
          <w:b/>
          <w:bCs/>
          <w:color w:val="1B2E5E"/>
          <w:sz w:val="28"/>
          <w:szCs w:val="28"/>
        </w:rPr>
        <w:t xml:space="preserve">6. GENERAL PROVISIONS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6.1 Governing Law.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This Agreement is governed by the laws of the State of New York.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6.2 Entire Agreement.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This Agreement, together with the Facility Documents and amended Shareholders Agreement, constitutes the entire agreement of the Parties regarding the conversion.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6.3 Amendments.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Amendments must be in writing and signed by both Parties.</w:t>
      </w:r>
    </w:p>
    <w:p>
      <w:pPr>
        <w:spacing w:before="80" w:after="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6.4 Counterparts.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This Agreement may be signed in counterparts with equal legal effect.</w:t>
      </w:r>
    </w:p>
    <w:p>
      <w:pPr>
        <w:pBdr>
          <w:bottom w:val="single" w:color="1B2E5E" w:sz="8" w:space="1"/>
        </w:pBdr>
        <w:spacing w:before="200" w:after="200"/>
      </w:pPr>
    </w:p>
    <w:p>
      <w:pPr>
        <w:pStyle w:val="Heading1"/>
        <w:spacing w:before="320" w:after="120"/>
      </w:pPr>
      <w:r>
        <w:rPr>
          <w:rFonts w:ascii="Arial" w:cs="Arial" w:eastAsia="Arial" w:hAnsi="Arial"/>
          <w:b/>
          <w:bCs/>
          <w:color w:val="1B2E5E"/>
          <w:sz w:val="28"/>
          <w:szCs w:val="28"/>
        </w:rPr>
        <w:t xml:space="preserve">SIGNATURES</w:t>
      </w:r>
    </w:p>
    <w:p>
      <w:pPr>
        <w:spacing w:before="2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ALTIQA MULTI-FAMILY OFFICE PTE. LTD.</w:t>
      </w:r>
    </w:p>
    <w:p>
      <w:p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Signature: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_________________________________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Name: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Roy Pang</w:t>
      </w:r>
    </w:p>
    <w:p>
      <w:pPr>
        <w:spacing w:before="40" w:after="4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Title: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Wealth Management Director</w:t>
      </w:r>
    </w:p>
    <w:p>
      <w:pPr>
        <w:spacing w:before="40" w:after="4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Date: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_________________________________</w:t>
      </w:r>
    </w:p>
    <w:p>
      <w:pPr>
        <w:spacing w:before="120" w:after="12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pPr>
        <w:spacing w:before="2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[COMPANY FULL LEGAL NAME]</w:t>
      </w:r>
    </w:p>
    <w:p>
      <w:pPr>
        <w:spacing w:before="40" w:after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Signature: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_________________________________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Name: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[AUTHORIZED SIGNATORY]</w:t>
      </w:r>
    </w:p>
    <w:p>
      <w:pPr>
        <w:spacing w:before="40" w:after="4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Title: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[TITLE]</w:t>
      </w:r>
    </w:p>
    <w:p>
      <w:pPr>
        <w:spacing w:before="40" w:after="4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Date: </w:t>
      </w:r>
      <w:r>
        <w:rPr>
          <w:rFonts w:ascii="Arial" w:cs="Arial" w:eastAsia="Arial" w:hAnsi="Arial"/>
          <w:color w:val="1A1A1A"/>
          <w:sz w:val="22"/>
          <w:szCs w:val="22"/>
        </w:rPr>
        <w:t xml:space="preserve">_________________________________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6E0" w:sz="4" w:space="1"/>
      </w:pBdr>
      <w:tabs>
        <w:tab w:val="center" w:pos="4680"/>
        <w:tab w:val="right" w:pos="9360"/>
      </w:tabs>
      <w:spacing w:before="120" w:after="0"/>
    </w:pPr>
    <w:r>
      <w:rPr>
        <w:rFonts w:ascii="Arial" w:cs="Arial" w:eastAsia="Arial" w:hAnsi="Arial"/>
        <w:color w:val="888888"/>
        <w:sz w:val="16"/>
        <w:szCs w:val="16"/>
      </w:rPr>
      <w:t xml:space="preserve">Altiqa Multi-Family Office Pte. Ltd.</w:t>
    </w:r>
    <w:r>
      <w:rPr>
        <w:rFonts w:ascii="Arial" w:cs="Arial" w:eastAsia="Arial" w:hAnsi="Arial"/>
        <w:color w:val="888888"/>
        <w:sz w:val="16"/>
        <w:szCs w:val="16"/>
      </w:rPr>
      <w:t xml:space="preserve">	Conversion Agreement	</w:t>
    </w:r>
    <w:r>
      <w:rPr>
        <w:rFonts w:ascii="Arial" w:cs="Arial" w:eastAsia="Arial" w:hAnsi="Arial"/>
        <w:color w:val="888888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2E5E" w:sz="4" w:space="1"/>
      </w:pBdr>
      <w:spacing w:before="0" w:after="160"/>
      <w:jc w:val="right"/>
    </w:pPr>
    <w:r>
      <w:rPr>
        <w:rFonts w:ascii="Arial" w:cs="Arial" w:eastAsia="Arial" w:hAnsi="Arial"/>
        <w:b/>
        <w:bCs/>
        <w:color w:val="1F7A8C"/>
        <w:sz w:val="16"/>
        <w:szCs w:val="16"/>
      </w:rPr>
      <w:t xml:space="preserve">ALTIQA MULTI-FAMILY OFFICE | 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.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20" w:after="120"/>
      <w:outlineLvl w:val="0"/>
    </w:pPr>
    <w:rPr>
      <w:rFonts w:ascii="Arial" w:cs="Arial" w:eastAsia="Arial" w:hAnsi="Arial"/>
      <w:b/>
      <w:bCs/>
      <w:color w:val="1B2E5E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40" w:after="100"/>
      <w:outlineLvl w:val="1"/>
    </w:pPr>
    <w:rPr>
      <w:rFonts w:ascii="Arial" w:cs="Arial" w:eastAsia="Arial" w:hAnsi="Arial"/>
      <w:b/>
      <w:bCs/>
      <w:color w:val="1F7A8C"/>
      <w:sz w:val="24"/>
      <w:szCs w:val="24"/>
    </w:rPr>
  </w:style>
  <w:style w:type="paragraph" w:styleId="Heading3">
    <w:name w:val="Heading 3"/>
    <w:basedOn w:val="Normal"/>
    <w:next w:val="Normal"/>
    <w:qFormat/>
    <w:pPr>
      <w:spacing w:before="180" w:after="80"/>
      <w:outlineLvl w:val="2"/>
    </w:pPr>
    <w:rPr>
      <w:rFonts w:ascii="Arial" w:cs="Arial" w:eastAsia="Arial" w:hAnsi="Arial"/>
      <w:b/>
      <w:bCs/>
      <w:color w:val="C8963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2026-03-29T12:49:31.462Z</dcterms:created>
  <dcterms:modified xsi:type="dcterms:W3CDTF">2026-03-29T12:49:31.462Z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