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480" w:after="160"/>
        <w:jc w:val="center"/>
      </w:pPr>
      <w:r>
        <w:rPr>
          <w:rFonts w:ascii="Arial" w:cs="Arial" w:eastAsia="Arial" w:hAnsi="Arial"/>
          <w:b/>
          <w:bCs/>
          <w:color w:val="1B2E5E"/>
          <w:sz w:val="40"/>
          <w:szCs w:val="40"/>
        </w:rPr>
        <w:t xml:space="preserve">CONVERTIBLE PROMISSORY NOTE</w:t>
      </w:r>
    </w:p>
    <w:p>
      <w:pPr>
        <w:spacing w:before="0" w:after="120"/>
        <w:jc w:val="center"/>
      </w:pPr>
      <w:r>
        <w:rPr>
          <w:rFonts w:ascii="Arial" w:cs="Arial" w:eastAsia="Arial" w:hAnsi="Arial"/>
          <w:i/>
          <w:iCs/>
          <w:color w:val="1F7A8C"/>
          <w:sz w:val="24"/>
          <w:szCs w:val="24"/>
        </w:rPr>
        <w:t xml:space="preserve">Convertible Line of Credit Instrument</w:t>
      </w:r>
    </w:p>
    <w:p>
      <w:pPr>
        <w:spacing w:before="0" w:after="480"/>
        <w:jc w:val="center"/>
      </w:pPr>
      <w:r>
        <w:rPr>
          <w:rFonts w:ascii="Arial" w:cs="Arial" w:eastAsia="Arial" w:hAnsi="Arial"/>
          <w:color w:val="888888"/>
          <w:sz w:val="20"/>
          <w:szCs w:val="20"/>
        </w:rPr>
        <w:t xml:space="preserve">Note Date: [INSERT DATE] | Maturity Date: [INSERT DATE — 36/60 MONTHS FROM ISSUE]</w:t>
      </w:r>
    </w:p>
    <w:p>
      <w:pPr>
        <w:pBdr>
          <w:bottom w:val="single" w:color="1B2E5E" w:sz="8" w:space="1"/>
        </w:pBdr>
        <w:spacing w:before="200" w:after="20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800"/>
        <w:gridCol w:w="6560"/>
      </w:tblGrid>
      <w:tr>
        <w:tc>
          <w:tcPr>
            <w:tcW w:type="dxa" w:w="2800"/>
            <w:tcBorders>
              <w:top w:val="single" w:color="D0D6E0" w:sz="1"/>
              <w:left w:val="single" w:color="D0D6E0" w:sz="1"/>
              <w:bottom w:val="single" w:color="D0D6E0" w:sz="1"/>
              <w:right w:val="single" w:color="D0D6E0" w:sz="1"/>
            </w:tcBorders>
            <w:shd w:fill="F4F6F9" w:val="clear"/>
            <w:tcMar>
              <w:top w:type="dxa" w:w="80"/>
              <w:left w:type="dxa" w:w="120"/>
              <w:bottom w:type="dxa" w:w="80"/>
              <w:right w:type="dxa" w:w="120"/>
            </w:tcMar>
          </w:tcPr>
          <w:p>
            <w:r>
              <w:rPr>
                <w:rFonts w:ascii="Arial" w:cs="Arial" w:eastAsia="Arial" w:hAnsi="Arial"/>
                <w:b/>
                <w:bCs/>
                <w:color w:val="1A1A1A"/>
                <w:sz w:val="22"/>
                <w:szCs w:val="22"/>
              </w:rPr>
              <w:t xml:space="preserve">Note Amount</w:t>
            </w:r>
          </w:p>
        </w:tc>
        <w:tc>
          <w:tcPr>
            <w:tcW w:type="dxa" w:w="6560"/>
            <w:tcBorders>
              <w:top w:val="single" w:color="D0D6E0" w:sz="1"/>
              <w:left w:val="single" w:color="D0D6E0" w:sz="1"/>
              <w:bottom w:val="single" w:color="D0D6E0" w:sz="1"/>
              <w:right w:val="single" w:color="D0D6E0" w:sz="1"/>
            </w:tcBorders>
            <w:tcMar>
              <w:top w:type="dxa" w:w="80"/>
              <w:left w:type="dxa" w:w="120"/>
              <w:bottom w:type="dxa" w:w="80"/>
              <w:right w:type="dxa" w:w="120"/>
            </w:tcMar>
          </w:tcPr>
          <w:p>
            <w:r>
              <w:rPr>
                <w:b/>
                <w:bCs/>
                <w:color w:val="CC0000"/>
              </w:rPr>
              <w:t xml:space="preserve">[USD $[AMOUNT]]</w:t>
            </w:r>
          </w:p>
        </w:tc>
      </w:tr>
      <w:tr>
        <w:tc>
          <w:tcPr>
            <w:tcW w:type="dxa" w:w="2800"/>
            <w:tcBorders>
              <w:top w:val="single" w:color="D0D6E0" w:sz="1"/>
              <w:left w:val="single" w:color="D0D6E0" w:sz="1"/>
              <w:bottom w:val="single" w:color="D0D6E0" w:sz="1"/>
              <w:right w:val="single" w:color="D0D6E0" w:sz="1"/>
            </w:tcBorders>
            <w:shd w:fill="F4F6F9" w:val="clear"/>
            <w:tcMar>
              <w:top w:type="dxa" w:w="80"/>
              <w:left w:type="dxa" w:w="120"/>
              <w:bottom w:type="dxa" w:w="80"/>
              <w:right w:type="dxa" w:w="120"/>
            </w:tcMar>
          </w:tcPr>
          <w:p>
            <w:r>
              <w:rPr>
                <w:rFonts w:ascii="Arial" w:cs="Arial" w:eastAsia="Arial" w:hAnsi="Arial"/>
                <w:b/>
                <w:bCs/>
                <w:color w:val="1A1A1A"/>
                <w:sz w:val="22"/>
                <w:szCs w:val="22"/>
              </w:rPr>
              <w:t xml:space="preserve">Note Date</w:t>
            </w:r>
          </w:p>
        </w:tc>
        <w:tc>
          <w:tcPr>
            <w:tcW w:type="dxa" w:w="6560"/>
            <w:tcBorders>
              <w:top w:val="single" w:color="D0D6E0" w:sz="1"/>
              <w:left w:val="single" w:color="D0D6E0" w:sz="1"/>
              <w:bottom w:val="single" w:color="D0D6E0" w:sz="1"/>
              <w:right w:val="single" w:color="D0D6E0" w:sz="1"/>
            </w:tcBorders>
            <w:tcMar>
              <w:top w:type="dxa" w:w="80"/>
              <w:left w:type="dxa" w:w="120"/>
              <w:bottom w:type="dxa" w:w="80"/>
              <w:right w:type="dxa" w:w="120"/>
            </w:tcMar>
          </w:tcPr>
          <w:p>
            <w:r>
              <w:rPr>
                <w:b/>
                <w:bCs/>
                <w:color w:val="CC0000"/>
              </w:rPr>
              <w:t xml:space="preserve">[[DATE]]</w:t>
            </w:r>
          </w:p>
        </w:tc>
      </w:tr>
      <w:tr>
        <w:tc>
          <w:tcPr>
            <w:tcW w:type="dxa" w:w="2800"/>
            <w:tcBorders>
              <w:top w:val="single" w:color="D0D6E0" w:sz="1"/>
              <w:left w:val="single" w:color="D0D6E0" w:sz="1"/>
              <w:bottom w:val="single" w:color="D0D6E0" w:sz="1"/>
              <w:right w:val="single" w:color="D0D6E0" w:sz="1"/>
            </w:tcBorders>
            <w:shd w:fill="F4F6F9" w:val="clear"/>
            <w:tcMar>
              <w:top w:type="dxa" w:w="80"/>
              <w:left w:type="dxa" w:w="120"/>
              <w:bottom w:type="dxa" w:w="80"/>
              <w:right w:type="dxa" w:w="120"/>
            </w:tcMar>
          </w:tcPr>
          <w:p>
            <w:r>
              <w:rPr>
                <w:rFonts w:ascii="Arial" w:cs="Arial" w:eastAsia="Arial" w:hAnsi="Arial"/>
                <w:b/>
                <w:bCs/>
                <w:color w:val="1A1A1A"/>
                <w:sz w:val="22"/>
                <w:szCs w:val="22"/>
              </w:rPr>
              <w:t xml:space="preserve">Maturity Date</w:t>
            </w:r>
          </w:p>
        </w:tc>
        <w:tc>
          <w:tcPr>
            <w:tcW w:type="dxa" w:w="6560"/>
            <w:tcBorders>
              <w:top w:val="single" w:color="D0D6E0" w:sz="1"/>
              <w:left w:val="single" w:color="D0D6E0" w:sz="1"/>
              <w:bottom w:val="single" w:color="D0D6E0" w:sz="1"/>
              <w:right w:val="single" w:color="D0D6E0" w:sz="1"/>
            </w:tcBorders>
            <w:tcMar>
              <w:top w:type="dxa" w:w="80"/>
              <w:left w:type="dxa" w:w="120"/>
              <w:bottom w:type="dxa" w:w="80"/>
              <w:right w:type="dxa" w:w="120"/>
            </w:tcMar>
          </w:tcPr>
          <w:p>
            <w:r>
              <w:rPr>
                <w:b/>
                <w:bCs/>
                <w:color w:val="CC0000"/>
              </w:rPr>
              <w:t xml:space="preserve">[[DATE — 36 OR 60 MONTHS FROM NOTE DATE]]</w:t>
            </w:r>
          </w:p>
        </w:tc>
      </w:tr>
      <w:tr>
        <w:tc>
          <w:tcPr>
            <w:tcW w:type="dxa" w:w="2800"/>
            <w:tcBorders>
              <w:top w:val="single" w:color="D0D6E0" w:sz="1"/>
              <w:left w:val="single" w:color="D0D6E0" w:sz="1"/>
              <w:bottom w:val="single" w:color="D0D6E0" w:sz="1"/>
              <w:right w:val="single" w:color="D0D6E0" w:sz="1"/>
            </w:tcBorders>
            <w:shd w:fill="F4F6F9" w:val="clear"/>
            <w:tcMar>
              <w:top w:type="dxa" w:w="80"/>
              <w:left w:type="dxa" w:w="120"/>
              <w:bottom w:type="dxa" w:w="80"/>
              <w:right w:type="dxa" w:w="120"/>
            </w:tcMar>
          </w:tcPr>
          <w:p>
            <w:r>
              <w:rPr>
                <w:rFonts w:ascii="Arial" w:cs="Arial" w:eastAsia="Arial" w:hAnsi="Arial"/>
                <w:b/>
                <w:bCs/>
                <w:color w:val="1A1A1A"/>
                <w:sz w:val="22"/>
                <w:szCs w:val="22"/>
              </w:rPr>
              <w:t xml:space="preserve">Issuer / Borrower</w:t>
            </w:r>
          </w:p>
        </w:tc>
        <w:tc>
          <w:tcPr>
            <w:tcW w:type="dxa" w:w="6560"/>
            <w:tcBorders>
              <w:top w:val="single" w:color="D0D6E0" w:sz="1"/>
              <w:left w:val="single" w:color="D0D6E0" w:sz="1"/>
              <w:bottom w:val="single" w:color="D0D6E0" w:sz="1"/>
              <w:right w:val="single" w:color="D0D6E0" w:sz="1"/>
            </w:tcBorders>
            <w:tcMar>
              <w:top w:type="dxa" w:w="80"/>
              <w:left w:type="dxa" w:w="120"/>
              <w:bottom w:type="dxa" w:w="80"/>
              <w:right w:type="dxa" w:w="120"/>
            </w:tcMar>
          </w:tcPr>
          <w:p>
            <w:r>
              <w:rPr>
                <w:b/>
                <w:bCs/>
                <w:color w:val="CC0000"/>
              </w:rPr>
              <w:t xml:space="preserve">[[BORROWER FULL LEGAL NAME]]</w:t>
            </w:r>
          </w:p>
        </w:tc>
      </w:tr>
      <w:tr>
        <w:tc>
          <w:tcPr>
            <w:tcW w:type="dxa" w:w="2800"/>
            <w:tcBorders>
              <w:top w:val="single" w:color="D0D6E0" w:sz="1"/>
              <w:left w:val="single" w:color="D0D6E0" w:sz="1"/>
              <w:bottom w:val="single" w:color="D0D6E0" w:sz="1"/>
              <w:right w:val="single" w:color="D0D6E0" w:sz="1"/>
            </w:tcBorders>
            <w:shd w:fill="F4F6F9" w:val="clear"/>
            <w:tcMar>
              <w:top w:type="dxa" w:w="80"/>
              <w:left w:type="dxa" w:w="120"/>
              <w:bottom w:type="dxa" w:w="80"/>
              <w:right w:type="dxa" w:w="120"/>
            </w:tcMar>
          </w:tcPr>
          <w:p>
            <w:r>
              <w:rPr>
                <w:rFonts w:ascii="Arial" w:cs="Arial" w:eastAsia="Arial" w:hAnsi="Arial"/>
                <w:b/>
                <w:bCs/>
                <w:color w:val="1A1A1A"/>
                <w:sz w:val="22"/>
                <w:szCs w:val="22"/>
              </w:rPr>
              <w:t xml:space="preserve">Holder / Lender</w:t>
            </w:r>
          </w:p>
        </w:tc>
        <w:tc>
          <w:tcPr>
            <w:tcW w:type="dxa" w:w="6560"/>
            <w:tcBorders>
              <w:top w:val="single" w:color="D0D6E0" w:sz="1"/>
              <w:left w:val="single" w:color="D0D6E0" w:sz="1"/>
              <w:bottom w:val="single" w:color="D0D6E0" w:sz="1"/>
              <w:right w:val="single" w:color="D0D6E0" w:sz="1"/>
            </w:tcBorders>
            <w:tcMar>
              <w:top w:type="dxa" w:w="80"/>
              <w:left w:type="dxa" w:w="120"/>
              <w:bottom w:type="dxa" w:w="80"/>
              <w:right w:type="dxa" w:w="120"/>
            </w:tcMar>
          </w:tcPr>
          <w:p>
            <w:r>
              <w:rPr>
                <w:rFonts w:ascii="Arial" w:cs="Arial" w:eastAsia="Arial" w:hAnsi="Arial"/>
                <w:color w:val="1A1A1A"/>
                <w:sz w:val="22"/>
                <w:szCs w:val="22"/>
              </w:rPr>
              <w:t xml:space="preserve">Altiqa Multi-Family Office Pte. Ltd.</w:t>
            </w:r>
          </w:p>
        </w:tc>
      </w:tr>
      <w:tr>
        <w:tc>
          <w:tcPr>
            <w:tcW w:type="dxa" w:w="2800"/>
            <w:tcBorders>
              <w:top w:val="single" w:color="D0D6E0" w:sz="1"/>
              <w:left w:val="single" w:color="D0D6E0" w:sz="1"/>
              <w:bottom w:val="single" w:color="D0D6E0" w:sz="1"/>
              <w:right w:val="single" w:color="D0D6E0" w:sz="1"/>
            </w:tcBorders>
            <w:shd w:fill="F4F6F9" w:val="clear"/>
            <w:tcMar>
              <w:top w:type="dxa" w:w="80"/>
              <w:left w:type="dxa" w:w="120"/>
              <w:bottom w:type="dxa" w:w="80"/>
              <w:right w:type="dxa" w:w="120"/>
            </w:tcMar>
          </w:tcPr>
          <w:p>
            <w:r>
              <w:rPr>
                <w:rFonts w:ascii="Arial" w:cs="Arial" w:eastAsia="Arial" w:hAnsi="Arial"/>
                <w:b/>
                <w:bCs/>
                <w:color w:val="1A1A1A"/>
                <w:sz w:val="22"/>
                <w:szCs w:val="22"/>
              </w:rPr>
              <w:t xml:space="preserve">Interest Rate</w:t>
            </w:r>
          </w:p>
        </w:tc>
        <w:tc>
          <w:tcPr>
            <w:tcW w:type="dxa" w:w="6560"/>
            <w:tcBorders>
              <w:top w:val="single" w:color="D0D6E0" w:sz="1"/>
              <w:left w:val="single" w:color="D0D6E0" w:sz="1"/>
              <w:bottom w:val="single" w:color="D0D6E0" w:sz="1"/>
              <w:right w:val="single" w:color="D0D6E0" w:sz="1"/>
            </w:tcBorders>
            <w:tcMar>
              <w:top w:type="dxa" w:w="80"/>
              <w:left w:type="dxa" w:w="120"/>
              <w:bottom w:type="dxa" w:w="80"/>
              <w:right w:type="dxa" w:w="120"/>
            </w:tcMar>
          </w:tcPr>
          <w:p>
            <w:r>
              <w:rPr>
                <w:rFonts w:ascii="Arial" w:cs="Arial" w:eastAsia="Arial" w:hAnsi="Arial"/>
                <w:color w:val="1A1A1A"/>
                <w:sz w:val="22"/>
                <w:szCs w:val="22"/>
              </w:rPr>
              <w:t xml:space="preserve">5% per annum (fixed) on drawn amounts — accrues throughout term; repaid or converted at maturity, at Borrower's election</w:t>
            </w:r>
          </w:p>
        </w:tc>
      </w:tr>
      <w:tr>
        <w:tc>
          <w:tcPr>
            <w:tcW w:type="dxa" w:w="2800"/>
            <w:tcBorders>
              <w:top w:val="single" w:color="D0D6E0" w:sz="1"/>
              <w:left w:val="single" w:color="D0D6E0" w:sz="1"/>
              <w:bottom w:val="single" w:color="D0D6E0" w:sz="1"/>
              <w:right w:val="single" w:color="D0D6E0" w:sz="1"/>
            </w:tcBorders>
            <w:shd w:fill="F4F6F9" w:val="clear"/>
            <w:tcMar>
              <w:top w:type="dxa" w:w="80"/>
              <w:left w:type="dxa" w:w="120"/>
              <w:bottom w:type="dxa" w:w="80"/>
              <w:right w:type="dxa" w:w="120"/>
            </w:tcMar>
          </w:tcPr>
          <w:p>
            <w:r>
              <w:rPr>
                <w:rFonts w:ascii="Arial" w:cs="Arial" w:eastAsia="Arial" w:hAnsi="Arial"/>
                <w:b/>
                <w:bCs/>
                <w:color w:val="1A1A1A"/>
                <w:sz w:val="22"/>
                <w:szCs w:val="22"/>
              </w:rPr>
              <w:t xml:space="preserve">Governing Law</w:t>
            </w:r>
          </w:p>
        </w:tc>
        <w:tc>
          <w:tcPr>
            <w:tcW w:type="dxa" w:w="6560"/>
            <w:tcBorders>
              <w:top w:val="single" w:color="D0D6E0" w:sz="1"/>
              <w:left w:val="single" w:color="D0D6E0" w:sz="1"/>
              <w:bottom w:val="single" w:color="D0D6E0" w:sz="1"/>
              <w:right w:val="single" w:color="D0D6E0" w:sz="1"/>
            </w:tcBorders>
            <w:tcMar>
              <w:top w:type="dxa" w:w="80"/>
              <w:left w:type="dxa" w:w="120"/>
              <w:bottom w:type="dxa" w:w="80"/>
              <w:right w:type="dxa" w:w="120"/>
            </w:tcMar>
          </w:tcPr>
          <w:p>
            <w:r>
              <w:rPr>
                <w:rFonts w:ascii="Arial" w:cs="Arial" w:eastAsia="Arial" w:hAnsi="Arial"/>
                <w:color w:val="1A1A1A"/>
                <w:sz w:val="22"/>
                <w:szCs w:val="22"/>
              </w:rPr>
              <w:t xml:space="preserve">State of New York, United States</w:t>
            </w:r>
          </w:p>
        </w:tc>
      </w:tr>
    </w:tbl>
    <w:p>
      <w:pPr>
        <w:spacing w:before="120" w:after="80"/>
      </w:pPr>
      <w:r>
        <w:rPr>
          <w:rFonts w:ascii="Arial" w:cs="Arial" w:eastAsia="Arial" w:hAnsi="Arial"/>
          <w:color w:val="1A1A1A"/>
          <w:sz w:val="22"/>
          <w:szCs w:val="22"/>
        </w:rPr>
        <w:t xml:space="preserve"/>
      </w:r>
    </w:p>
    <w:p>
      <w:pPr>
        <w:spacing w:before="80" w:after="80"/>
      </w:pPr>
      <w:r>
        <w:rPr>
          <w:rFonts w:ascii="Arial" w:cs="Arial" w:eastAsia="Arial" w:hAnsi="Arial"/>
          <w:color w:val="1A1A1A"/>
          <w:sz w:val="22"/>
          <w:szCs w:val="22"/>
        </w:rPr>
        <w:t xml:space="preserve">FOR VALUE RECEIVED, </w:t>
      </w:r>
      <w:r>
        <w:rPr>
          <w:b/>
          <w:bCs/>
          <w:color w:val="CC0000"/>
        </w:rPr>
        <w:t xml:space="preserve">[[BORROWER FULL LEGAL NAME]]</w:t>
      </w:r>
      <w:r>
        <w:rPr>
          <w:rFonts w:ascii="Arial" w:cs="Arial" w:eastAsia="Arial" w:hAnsi="Arial"/>
          <w:color w:val="1A1A1A"/>
          <w:sz w:val="22"/>
          <w:szCs w:val="22"/>
        </w:rPr>
        <w:t xml:space="preserve">, a company incorporated under the laws of </w:t>
      </w:r>
      <w:r>
        <w:rPr>
          <w:b/>
          <w:bCs/>
          <w:color w:val="CC0000"/>
        </w:rPr>
        <w:t xml:space="preserve">[[STATE/COUNTRY]]</w:t>
      </w:r>
      <w:r>
        <w:rPr>
          <w:rFonts w:ascii="Arial" w:cs="Arial" w:eastAsia="Arial" w:hAnsi="Arial"/>
          <w:color w:val="1A1A1A"/>
          <w:sz w:val="22"/>
          <w:szCs w:val="22"/>
        </w:rPr>
        <w:t xml:space="preserve"> ("Issuer" or "Borrower"), hereby promises to pay to the order of Altiqa Multi-Family Office Pte. Ltd. ("Holder" or "Lender"), or its registered assigns, the principal sum of </w:t>
      </w:r>
      <w:r>
        <w:rPr>
          <w:b/>
          <w:bCs/>
          <w:color w:val="CC0000"/>
        </w:rPr>
        <w:t xml:space="preserve">[USD $[AMOUNT]]</w:t>
      </w:r>
      <w:r>
        <w:rPr>
          <w:rFonts w:ascii="Arial" w:cs="Arial" w:eastAsia="Arial" w:hAnsi="Arial"/>
          <w:color w:val="1A1A1A"/>
          <w:sz w:val="22"/>
          <w:szCs w:val="22"/>
        </w:rPr>
        <w:t xml:space="preserve">, together with accrued and unpaid interest thereon (if any), on the Maturity Date or such earlier date as specified herein, unless this Note is converted into equity pursuant to the terms hereof.</w:t>
      </w:r>
    </w:p>
    <w:p>
      <w:pPr>
        <w:pStyle w:val="Heading1"/>
        <w:spacing w:before="320" w:after="120"/>
      </w:pPr>
      <w:r>
        <w:rPr>
          <w:rFonts w:ascii="Arial" w:cs="Arial" w:eastAsia="Arial" w:hAnsi="Arial"/>
          <w:b/>
          <w:bCs/>
          <w:color w:val="1B2E5E"/>
          <w:sz w:val="28"/>
          <w:szCs w:val="28"/>
        </w:rPr>
        <w:t xml:space="preserve">1. DEFINED TERMS</w:t>
      </w:r>
    </w:p>
    <w:p>
      <w:pPr>
        <w:spacing w:before="80" w:after="80"/>
      </w:pPr>
      <w:r>
        <w:rPr>
          <w:rFonts w:ascii="Arial" w:cs="Arial" w:eastAsia="Arial" w:hAnsi="Arial"/>
          <w:b/>
          <w:bCs/>
          <w:color w:val="1A1A1A"/>
          <w:sz w:val="22"/>
          <w:szCs w:val="22"/>
        </w:rPr>
        <w:t xml:space="preserve">"Agreement"</w:t>
      </w:r>
      <w:r>
        <w:rPr>
          <w:rFonts w:ascii="Arial" w:cs="Arial" w:eastAsia="Arial" w:hAnsi="Arial"/>
          <w:color w:val="1A1A1A"/>
          <w:sz w:val="22"/>
          <w:szCs w:val="22"/>
        </w:rPr>
        <w:t xml:space="preserve"> means the Credit Financing Agreement dated </w:t>
      </w:r>
      <w:r>
        <w:rPr>
          <w:b/>
          <w:bCs/>
          <w:color w:val="CC0000"/>
        </w:rPr>
        <w:t xml:space="preserve">[[DATE]]</w:t>
      </w:r>
      <w:r>
        <w:rPr>
          <w:rFonts w:ascii="Arial" w:cs="Arial" w:eastAsia="Arial" w:hAnsi="Arial"/>
          <w:color w:val="1A1A1A"/>
          <w:sz w:val="22"/>
          <w:szCs w:val="22"/>
        </w:rPr>
        <w:t xml:space="preserve"> between the Holder and Issuer.</w:t>
      </w:r>
    </w:p>
    <w:p>
      <w:pPr>
        <w:spacing w:before="80" w:after="80"/>
      </w:pPr>
      <w:r>
        <w:rPr>
          <w:rFonts w:ascii="Arial" w:cs="Arial" w:eastAsia="Arial" w:hAnsi="Arial"/>
          <w:b/>
          <w:bCs/>
          <w:color w:val="1A1A1A"/>
          <w:sz w:val="22"/>
          <w:szCs w:val="22"/>
        </w:rPr>
        <w:t xml:space="preserve">"Conversion Event"</w:t>
      </w:r>
      <w:r>
        <w:rPr>
          <w:rFonts w:ascii="Arial" w:cs="Arial" w:eastAsia="Arial" w:hAnsi="Arial"/>
          <w:color w:val="1A1A1A"/>
          <w:sz w:val="22"/>
          <w:szCs w:val="22"/>
        </w:rPr>
        <w:t xml:space="preserve"> means any of the following: (i) the Maturity Date; (ii) a Qualified Financing Round; (iii) an acquisition or change of control; (iv) an IPO filing; (v) a Revenue Milestone as agreed in writing; (vi) mutual written agreement; or (vii) an Event of Default.</w:t>
      </w:r>
    </w:p>
    <w:p>
      <w:pPr>
        <w:spacing w:before="80" w:after="80"/>
      </w:pPr>
      <w:r>
        <w:rPr>
          <w:rFonts w:ascii="Arial" w:cs="Arial" w:eastAsia="Arial" w:hAnsi="Arial"/>
          <w:b/>
          <w:bCs/>
          <w:color w:val="1A1A1A"/>
          <w:sz w:val="22"/>
          <w:szCs w:val="22"/>
        </w:rPr>
        <w:t xml:space="preserve">"Conversion Price"</w:t>
      </w:r>
      <w:r>
        <w:rPr>
          <w:rFonts w:ascii="Arial" w:cs="Arial" w:eastAsia="Arial" w:hAnsi="Arial"/>
          <w:color w:val="1A1A1A"/>
          <w:sz w:val="22"/>
          <w:szCs w:val="22"/>
        </w:rPr>
        <w:t xml:space="preserve"> means the price per share at which this Note converts, calculated as the lower of: (a) the Valuation Cap Price; or (b) the Discount Price.</w:t>
      </w:r>
    </w:p>
    <w:p>
      <w:pPr>
        <w:spacing w:before="80" w:after="80"/>
      </w:pPr>
      <w:r>
        <w:rPr>
          <w:rFonts w:ascii="Arial" w:cs="Arial" w:eastAsia="Arial" w:hAnsi="Arial"/>
          <w:b/>
          <w:bCs/>
          <w:color w:val="1A1A1A"/>
          <w:sz w:val="22"/>
          <w:szCs w:val="22"/>
        </w:rPr>
        <w:t xml:space="preserve">"Discount Price"</w:t>
      </w:r>
      <w:r>
        <w:rPr>
          <w:rFonts w:ascii="Arial" w:cs="Arial" w:eastAsia="Arial" w:hAnsi="Arial"/>
          <w:color w:val="1A1A1A"/>
          <w:sz w:val="22"/>
          <w:szCs w:val="22"/>
        </w:rPr>
        <w:t xml:space="preserve"> means the price per share paid by investors in a Qualified Financing Round, multiplied by </w:t>
      </w:r>
      <w:r>
        <w:rPr>
          <w:b/>
          <w:bCs/>
          <w:color w:val="CC0000"/>
        </w:rPr>
        <w:t xml:space="preserve">(1 minus 0%) — no discount applies</w:t>
      </w:r>
      <w:r>
        <w:rPr>
          <w:rFonts w:ascii="Arial" w:cs="Arial" w:eastAsia="Arial" w:hAnsi="Arial"/>
          <w:color w:val="1A1A1A"/>
          <w:sz w:val="22"/>
          <w:szCs w:val="22"/>
        </w:rPr>
        <w:t xml:space="preserve">.</w:t>
      </w:r>
    </w:p>
    <w:p>
      <w:pPr>
        <w:spacing w:before="80" w:after="80"/>
      </w:pPr>
      <w:r>
        <w:rPr>
          <w:rFonts w:ascii="Arial" w:cs="Arial" w:eastAsia="Arial" w:hAnsi="Arial"/>
          <w:b/>
          <w:bCs/>
          <w:color w:val="1A1A1A"/>
          <w:sz w:val="22"/>
          <w:szCs w:val="22"/>
        </w:rPr>
        <w:t xml:space="preserve">"Qualified Financing Round"</w:t>
      </w:r>
      <w:r>
        <w:rPr>
          <w:rFonts w:ascii="Arial" w:cs="Arial" w:eastAsia="Arial" w:hAnsi="Arial"/>
          <w:color w:val="1A1A1A"/>
          <w:sz w:val="22"/>
          <w:szCs w:val="22"/>
        </w:rPr>
        <w:t xml:space="preserve"> means a bona fide equity financing resulting in gross proceeds of not less than </w:t>
      </w:r>
      <w:r>
        <w:rPr>
          <w:b/>
          <w:bCs/>
          <w:color w:val="CC0000"/>
        </w:rPr>
        <w:t xml:space="preserve">[USD $[THRESHOLD — e.g. $5,000,000]]</w:t>
      </w:r>
      <w:r>
        <w:rPr>
          <w:rFonts w:ascii="Arial" w:cs="Arial" w:eastAsia="Arial" w:hAnsi="Arial"/>
          <w:color w:val="1A1A1A"/>
          <w:sz w:val="22"/>
          <w:szCs w:val="22"/>
        </w:rPr>
        <w:t xml:space="preserve">.</w:t>
      </w:r>
    </w:p>
    <w:p>
      <w:pPr>
        <w:spacing w:before="80" w:after="80"/>
      </w:pPr>
      <w:r>
        <w:rPr>
          <w:rFonts w:ascii="Arial" w:cs="Arial" w:eastAsia="Arial" w:hAnsi="Arial"/>
          <w:b/>
          <w:bCs/>
          <w:color w:val="1A1A1A"/>
          <w:sz w:val="22"/>
          <w:szCs w:val="22"/>
        </w:rPr>
        <w:t xml:space="preserve">"Valuation Cap"</w:t>
      </w:r>
      <w:r>
        <w:rPr>
          <w:rFonts w:ascii="Arial" w:cs="Arial" w:eastAsia="Arial" w:hAnsi="Arial"/>
          <w:color w:val="1A1A1A"/>
          <w:sz w:val="22"/>
          <w:szCs w:val="22"/>
        </w:rPr>
        <w:t xml:space="preserve"> means a pre-money company valuation of </w:t>
      </w:r>
      <w:r>
        <w:rPr>
          <w:b/>
          <w:bCs/>
          <w:color w:val="CC0000"/>
        </w:rPr>
        <w:t xml:space="preserve">[USD $[X],000,000 [TO BE AGREED PER DEAL]]</w:t>
      </w:r>
      <w:r>
        <w:rPr>
          <w:rFonts w:ascii="Arial" w:cs="Arial" w:eastAsia="Arial" w:hAnsi="Arial"/>
          <w:color w:val="1A1A1A"/>
          <w:sz w:val="22"/>
          <w:szCs w:val="22"/>
        </w:rPr>
        <w:t xml:space="preserve">. The Valuation Cap Price is the Valuation Cap divided by the fully diluted capitalization.</w:t>
      </w:r>
    </w:p>
    <w:p>
      <w:pPr>
        <w:pStyle w:val="Heading1"/>
        <w:spacing w:before="320" w:after="120"/>
      </w:pPr>
      <w:r>
        <w:rPr>
          <w:rFonts w:ascii="Arial" w:cs="Arial" w:eastAsia="Arial" w:hAnsi="Arial"/>
          <w:b/>
          <w:bCs/>
          <w:color w:val="1B2E5E"/>
          <w:sz w:val="28"/>
          <w:szCs w:val="28"/>
        </w:rPr>
        <w:t xml:space="preserve">2. INTEREST</w:t>
      </w:r>
    </w:p>
    <w:p>
      <w:pPr>
        <w:spacing w:before="80" w:after="80"/>
      </w:pPr>
      <w:r>
        <w:rPr>
          <w:rFonts w:ascii="Arial" w:cs="Arial" w:eastAsia="Arial" w:hAnsi="Arial"/>
          <w:color w:val="1A1A1A"/>
          <w:sz w:val="22"/>
          <w:szCs w:val="22"/>
        </w:rPr>
        <w:t xml:space="preserve">This Note bears interest at the rate of </w:t>
      </w:r>
      <w:r>
        <w:rPr>
          <w:rFonts w:ascii="Arial" w:cs="Arial" w:eastAsia="Arial" w:hAnsi="Arial"/>
          <w:b/>
          <w:bCs/>
          <w:color w:val="1A1A1A"/>
          <w:sz w:val="22"/>
          <w:szCs w:val="22"/>
        </w:rPr>
        <w:t xml:space="preserve">5% per annum (fixed)</w:t>
      </w:r>
      <w:r>
        <w:rPr>
          <w:rFonts w:ascii="Arial" w:cs="Arial" w:eastAsia="Arial" w:hAnsi="Arial"/>
          <w:color w:val="1A1A1A"/>
          <w:sz w:val="22"/>
          <w:szCs w:val="22"/>
        </w:rPr>
        <w:t xml:space="preserve"> on drawn amounts, accruing from the date of each draw through conversion or repayment. No interest payments are required during the term. All accrued interest shall convert to equity together with principal at the Maturity Date pursuant to Section 4.</w:t>
      </w:r>
    </w:p>
    <w:p>
      <w:pPr>
        <w:pStyle w:val="Heading1"/>
        <w:spacing w:before="320" w:after="120"/>
      </w:pPr>
      <w:r>
        <w:rPr>
          <w:rFonts w:ascii="Arial" w:cs="Arial" w:eastAsia="Arial" w:hAnsi="Arial"/>
          <w:b/>
          <w:bCs/>
          <w:color w:val="1B2E5E"/>
          <w:sz w:val="28"/>
          <w:szCs w:val="28"/>
        </w:rPr>
        <w:t xml:space="preserve">3. REPAYMENT</w:t>
      </w:r>
    </w:p>
    <w:p>
      <w:pPr>
        <w:spacing w:before="80" w:after="80"/>
      </w:pPr>
      <w:r>
        <w:rPr>
          <w:rFonts w:ascii="Arial" w:cs="Arial" w:eastAsia="Arial" w:hAnsi="Arial"/>
          <w:b/>
          <w:bCs/>
          <w:color w:val="1A1A1A"/>
          <w:sz w:val="22"/>
          <w:szCs w:val="22"/>
        </w:rPr>
        <w:t xml:space="preserve">3.1 Maturity. </w:t>
      </w:r>
      <w:r>
        <w:rPr>
          <w:rFonts w:ascii="Arial" w:cs="Arial" w:eastAsia="Arial" w:hAnsi="Arial"/>
          <w:color w:val="1A1A1A"/>
          <w:sz w:val="22"/>
          <w:szCs w:val="22"/>
        </w:rPr>
        <w:t xml:space="preserve">Unless previously converted pursuant to Section 4, the outstanding principal amount of this Note shall be due and payable in full on the Maturity Date.</w:t>
      </w:r>
    </w:p>
    <w:p>
      <w:pPr>
        <w:spacing w:before="80" w:after="80"/>
      </w:pPr>
      <w:r>
        <w:rPr>
          <w:rFonts w:ascii="Arial" w:cs="Arial" w:eastAsia="Arial" w:hAnsi="Arial"/>
          <w:b/>
          <w:bCs/>
          <w:color w:val="1A1A1A"/>
          <w:sz w:val="22"/>
          <w:szCs w:val="22"/>
        </w:rPr>
        <w:t xml:space="preserve">3.2 Prepayment. </w:t>
      </w:r>
      <w:r>
        <w:rPr>
          <w:rFonts w:ascii="Arial" w:cs="Arial" w:eastAsia="Arial" w:hAnsi="Arial"/>
          <w:color w:val="1A1A1A"/>
          <w:sz w:val="22"/>
          <w:szCs w:val="22"/>
        </w:rPr>
        <w:t xml:space="preserve">The Borrower may prepay this Note in whole or in part at any time without penalty, upon 30 days prior written notice to the Holder.</w:t>
      </w:r>
    </w:p>
    <w:p>
      <w:pPr>
        <w:spacing w:before="80" w:after="80"/>
      </w:pPr>
      <w:r>
        <w:rPr>
          <w:rFonts w:ascii="Arial" w:cs="Arial" w:eastAsia="Arial" w:hAnsi="Arial"/>
          <w:b/>
          <w:bCs/>
          <w:color w:val="1A1A1A"/>
          <w:sz w:val="22"/>
          <w:szCs w:val="22"/>
        </w:rPr>
        <w:t xml:space="preserve">3.3 No Setoff. </w:t>
      </w:r>
      <w:r>
        <w:rPr>
          <w:rFonts w:ascii="Arial" w:cs="Arial" w:eastAsia="Arial" w:hAnsi="Arial"/>
          <w:color w:val="1A1A1A"/>
          <w:sz w:val="22"/>
          <w:szCs w:val="22"/>
        </w:rPr>
        <w:t xml:space="preserve">All payments shall be made without setoff, deduction, or counterclaim of any kind.</w:t>
      </w:r>
    </w:p>
    <w:p>
      <w:pPr>
        <w:pStyle w:val="Heading1"/>
        <w:spacing w:before="320" w:after="120"/>
      </w:pPr>
      <w:r>
        <w:rPr>
          <w:rFonts w:ascii="Arial" w:cs="Arial" w:eastAsia="Arial" w:hAnsi="Arial"/>
          <w:b/>
          <w:bCs/>
          <w:color w:val="1B2E5E"/>
          <w:sz w:val="28"/>
          <w:szCs w:val="28"/>
        </w:rPr>
        <w:t xml:space="preserve">4. CONVERSION</w:t>
      </w:r>
    </w:p>
    <w:p>
      <w:pPr>
        <w:spacing w:before="80" w:after="80"/>
      </w:pPr>
      <w:r>
        <w:rPr>
          <w:rFonts w:ascii="Arial" w:cs="Arial" w:eastAsia="Arial" w:hAnsi="Arial"/>
          <w:b/>
          <w:bCs/>
          <w:color w:val="1A1A1A"/>
          <w:sz w:val="22"/>
          <w:szCs w:val="22"/>
        </w:rPr>
        <w:t xml:space="preserve">4.1 Automatic Conversion at Qualified Financing. </w:t>
      </w:r>
      <w:r>
        <w:rPr>
          <w:rFonts w:ascii="Arial" w:cs="Arial" w:eastAsia="Arial" w:hAnsi="Arial"/>
          <w:color w:val="1A1A1A"/>
          <w:sz w:val="22"/>
          <w:szCs w:val="22"/>
        </w:rPr>
        <w:t xml:space="preserve">Upon the occurrence of a Qualified Financing Round prior to the Maturity Date, the outstanding principal (and accrued interest, if any) shall automatically convert into shares of the same class issued to investors in such Qualified Financing Round, at the Conversion Price.</w:t>
      </w:r>
    </w:p>
    <w:p>
      <w:pPr>
        <w:spacing w:before="80" w:after="80"/>
      </w:pPr>
      <w:r>
        <w:rPr>
          <w:rFonts w:ascii="Arial" w:cs="Arial" w:eastAsia="Arial" w:hAnsi="Arial"/>
          <w:b/>
          <w:bCs/>
          <w:color w:val="1A1A1A"/>
          <w:sz w:val="22"/>
          <w:szCs w:val="22"/>
        </w:rPr>
        <w:t xml:space="preserve">4.2 Optional Conversion at Maturity. </w:t>
      </w:r>
      <w:r>
        <w:rPr>
          <w:rFonts w:ascii="Arial" w:cs="Arial" w:eastAsia="Arial" w:hAnsi="Arial"/>
          <w:color w:val="1A1A1A"/>
          <w:sz w:val="22"/>
          <w:szCs w:val="22"/>
        </w:rPr>
        <w:t xml:space="preserve">If no Qualified Financing Round has occurred, the Borrower may elect, at the Maturity Date, to repay the outstanding principal and all accrued interest in full, or convert such amounts into Preferred Shares of the Issuer, at no discount to an independent third-party valuation.</w:t>
      </w:r>
    </w:p>
    <w:p>
      <w:pPr>
        <w:spacing w:before="80" w:after="80"/>
      </w:pPr>
      <w:r>
        <w:rPr>
          <w:rFonts w:ascii="Arial" w:cs="Arial" w:eastAsia="Arial" w:hAnsi="Arial"/>
          <w:b/>
          <w:bCs/>
          <w:color w:val="1A1A1A"/>
          <w:sz w:val="22"/>
          <w:szCs w:val="22"/>
        </w:rPr>
        <w:t xml:space="preserve">4.3 Conversion at Other Trigger Events. </w:t>
      </w:r>
      <w:r>
        <w:rPr>
          <w:rFonts w:ascii="Arial" w:cs="Arial" w:eastAsia="Arial" w:hAnsi="Arial"/>
          <w:color w:val="1A1A1A"/>
          <w:sz w:val="22"/>
          <w:szCs w:val="22"/>
        </w:rPr>
        <w:t xml:space="preserve">Upon the occurrence of any other Conversion Event, the Holder may elect conversion by written notice to the Issuer. Conversion shall occur on the date specified in such notice.</w:t>
      </w:r>
    </w:p>
    <w:p>
      <w:pPr>
        <w:spacing w:before="80" w:after="80"/>
      </w:pPr>
      <w:r>
        <w:rPr>
          <w:rFonts w:ascii="Arial" w:cs="Arial" w:eastAsia="Arial" w:hAnsi="Arial"/>
          <w:b/>
          <w:bCs/>
          <w:color w:val="1A1A1A"/>
          <w:sz w:val="22"/>
          <w:szCs w:val="22"/>
        </w:rPr>
        <w:t xml:space="preserve">4.4 Mechanics. </w:t>
      </w:r>
      <w:r>
        <w:rPr>
          <w:rFonts w:ascii="Arial" w:cs="Arial" w:eastAsia="Arial" w:hAnsi="Arial"/>
          <w:color w:val="1A1A1A"/>
          <w:sz w:val="22"/>
          <w:szCs w:val="22"/>
        </w:rPr>
        <w:t xml:space="preserve">Upon conversion, the Issuer shall issue share certificates or equivalent documentation to the Holder within 10 business days. The Holder shall surrender this Note upon issuance of such shares.</w:t>
      </w:r>
    </w:p>
    <w:p>
      <w:pPr>
        <w:spacing w:before="80" w:after="80"/>
      </w:pPr>
      <w:r>
        <w:rPr>
          <w:rFonts w:ascii="Arial" w:cs="Arial" w:eastAsia="Arial" w:hAnsi="Arial"/>
          <w:b/>
          <w:bCs/>
          <w:color w:val="1A1A1A"/>
          <w:sz w:val="22"/>
          <w:szCs w:val="22"/>
        </w:rPr>
        <w:t xml:space="preserve">4.5 No Fractional Shares. </w:t>
      </w:r>
      <w:r>
        <w:rPr>
          <w:rFonts w:ascii="Arial" w:cs="Arial" w:eastAsia="Arial" w:hAnsi="Arial"/>
          <w:color w:val="1A1A1A"/>
          <w:sz w:val="22"/>
          <w:szCs w:val="22"/>
        </w:rPr>
        <w:t xml:space="preserve">No fractional shares shall be issued. The number of shares issued shall be rounded down to the nearest whole share, with any remaining balance paid in cash.</w:t>
      </w:r>
    </w:p>
    <w:p>
      <w:pPr>
        <w:pStyle w:val="Heading1"/>
        <w:spacing w:before="320" w:after="120"/>
      </w:pPr>
      <w:r>
        <w:rPr>
          <w:rFonts w:ascii="Arial" w:cs="Arial" w:eastAsia="Arial" w:hAnsi="Arial"/>
          <w:b/>
          <w:bCs/>
          <w:color w:val="1B2E5E"/>
          <w:sz w:val="28"/>
          <w:szCs w:val="28"/>
        </w:rPr>
        <w:t xml:space="preserve">5. EQUITY RIGHTS AT CONVERSION</w:t>
      </w:r>
    </w:p>
    <w:p>
      <w:pPr>
        <w:spacing w:before="80" w:after="80"/>
      </w:pPr>
      <w:r>
        <w:rPr>
          <w:rFonts w:ascii="Arial" w:cs="Arial" w:eastAsia="Arial" w:hAnsi="Arial"/>
          <w:b/>
          <w:bCs/>
          <w:color w:val="1A1A1A"/>
          <w:sz w:val="22"/>
          <w:szCs w:val="22"/>
        </w:rPr>
        <w:t xml:space="preserve">5.1 Share Class. </w:t>
      </w:r>
      <w:r>
        <w:rPr>
          <w:rFonts w:ascii="Arial" w:cs="Arial" w:eastAsia="Arial" w:hAnsi="Arial"/>
          <w:color w:val="1A1A1A"/>
          <w:sz w:val="22"/>
          <w:szCs w:val="22"/>
        </w:rPr>
        <w:t xml:space="preserve">Shares issued upon conversion shall be Preferred Shares with the following rights:</w:t>
      </w:r>
    </w:p>
    <w:p>
      <w:pPr>
        <w:pStyle w:val="ListParagraph"/>
        <w:numPr>
          <w:ilvl w:val="0"/>
          <w:numId w:val="2"/>
        </w:numPr>
        <w:spacing w:before="40" w:after="40"/>
      </w:pPr>
      <w:r>
        <w:rPr>
          <w:rFonts w:ascii="Arial" w:cs="Arial" w:eastAsia="Arial" w:hAnsi="Arial"/>
          <w:color w:val="1A1A1A"/>
          <w:sz w:val="22"/>
          <w:szCs w:val="22"/>
        </w:rPr>
        <w:t xml:space="preserve">Liquidation preference on a 1x non-participating basis (or as agreed)</w:t>
      </w:r>
    </w:p>
    <w:p>
      <w:pPr>
        <w:pStyle w:val="ListParagraph"/>
        <w:numPr>
          <w:ilvl w:val="0"/>
          <w:numId w:val="2"/>
        </w:numPr>
        <w:spacing w:before="40" w:after="40"/>
      </w:pPr>
      <w:r>
        <w:rPr>
          <w:rFonts w:ascii="Arial" w:cs="Arial" w:eastAsia="Arial" w:hAnsi="Arial"/>
          <w:color w:val="1A1A1A"/>
          <w:sz w:val="22"/>
          <w:szCs w:val="22"/>
        </w:rPr>
        <w:t xml:space="preserve">Broad-based weighted average anti-dilution protection</w:t>
      </w:r>
    </w:p>
    <w:p>
      <w:pPr>
        <w:pStyle w:val="ListParagraph"/>
        <w:numPr>
          <w:ilvl w:val="0"/>
          <w:numId w:val="2"/>
        </w:numPr>
        <w:spacing w:before="40" w:after="40"/>
      </w:pPr>
      <w:r>
        <w:rPr>
          <w:rFonts w:ascii="Arial" w:cs="Arial" w:eastAsia="Arial" w:hAnsi="Arial"/>
          <w:color w:val="1A1A1A"/>
          <w:sz w:val="22"/>
          <w:szCs w:val="22"/>
        </w:rPr>
        <w:t xml:space="preserve">Pro-rata participation rights in future financing rounds</w:t>
      </w:r>
    </w:p>
    <w:p>
      <w:pPr>
        <w:pStyle w:val="ListParagraph"/>
        <w:numPr>
          <w:ilvl w:val="0"/>
          <w:numId w:val="2"/>
        </w:numPr>
        <w:spacing w:before="40" w:after="40"/>
      </w:pPr>
      <w:r>
        <w:rPr>
          <w:rFonts w:ascii="Arial" w:cs="Arial" w:eastAsia="Arial" w:hAnsi="Arial"/>
          <w:color w:val="1A1A1A"/>
          <w:sz w:val="22"/>
          <w:szCs w:val="22"/>
        </w:rPr>
        <w:t xml:space="preserve">Information rights: quarterly financials and annual audited statements</w:t>
      </w:r>
    </w:p>
    <w:p>
      <w:pPr>
        <w:pStyle w:val="ListParagraph"/>
        <w:numPr>
          <w:ilvl w:val="0"/>
          <w:numId w:val="2"/>
        </w:numPr>
        <w:spacing w:before="40" w:after="40"/>
      </w:pPr>
      <w:r>
        <w:rPr>
          <w:rFonts w:ascii="Arial" w:cs="Arial" w:eastAsia="Arial" w:hAnsi="Arial"/>
          <w:color w:val="1A1A1A"/>
          <w:sz w:val="22"/>
          <w:szCs w:val="22"/>
        </w:rPr>
        <w:t xml:space="preserve">Tag-along rights in the event of a sale or change of control</w:t>
      </w:r>
    </w:p>
    <w:p>
      <w:pPr>
        <w:spacing w:before="80" w:after="80"/>
      </w:pPr>
      <w:r>
        <w:rPr>
          <w:rFonts w:ascii="Arial" w:cs="Arial" w:eastAsia="Arial" w:hAnsi="Arial"/>
          <w:b/>
          <w:bCs/>
          <w:color w:val="1A1A1A"/>
          <w:sz w:val="22"/>
          <w:szCs w:val="22"/>
        </w:rPr>
        <w:t xml:space="preserve">5.2 Most Favored Nation. </w:t>
      </w:r>
      <w:r>
        <w:rPr>
          <w:rFonts w:ascii="Arial" w:cs="Arial" w:eastAsia="Arial" w:hAnsi="Arial"/>
          <w:color w:val="1A1A1A"/>
          <w:sz w:val="22"/>
          <w:szCs w:val="22"/>
        </w:rPr>
        <w:t xml:space="preserve">If the Issuer issues any other convertible instrument with more favorable terms than this Note, the Holder shall be entitled to elect to receive such more favorable terms.</w:t>
      </w:r>
    </w:p>
    <w:p>
      <w:pPr>
        <w:spacing w:before="80" w:after="80"/>
      </w:pPr>
      <w:r>
        <w:rPr>
          <w:rFonts w:ascii="Arial" w:cs="Arial" w:eastAsia="Arial" w:hAnsi="Arial"/>
          <w:b/>
          <w:bCs/>
          <w:color w:val="1A1A1A"/>
          <w:sz w:val="22"/>
          <w:szCs w:val="22"/>
        </w:rPr>
        <w:t xml:space="preserve">5.3 Board Observer. </w:t>
      </w:r>
      <w:r>
        <w:rPr>
          <w:b/>
          <w:bCs/>
          <w:color w:val="CC0000"/>
        </w:rPr>
        <w:t xml:space="preserve">[[Holder shall be entitled to appoint one (1) board observer — CONFIRM YES/NO]]</w:t>
      </w:r>
    </w:p>
    <w:p>
      <w:pPr>
        <w:pStyle w:val="Heading1"/>
        <w:spacing w:before="320" w:after="120"/>
      </w:pPr>
      <w:r>
        <w:rPr>
          <w:rFonts w:ascii="Arial" w:cs="Arial" w:eastAsia="Arial" w:hAnsi="Arial"/>
          <w:b/>
          <w:bCs/>
          <w:color w:val="1B2E5E"/>
          <w:sz w:val="28"/>
          <w:szCs w:val="28"/>
        </w:rPr>
        <w:t xml:space="preserve">6. DEFAULT</w:t>
      </w:r>
    </w:p>
    <w:p>
      <w:pPr>
        <w:spacing w:before="80" w:after="80"/>
      </w:pPr>
      <w:r>
        <w:rPr>
          <w:rFonts w:ascii="Arial" w:cs="Arial" w:eastAsia="Arial" w:hAnsi="Arial"/>
          <w:color w:val="1A1A1A"/>
          <w:sz w:val="22"/>
          <w:szCs w:val="22"/>
        </w:rPr>
        <w:t xml:space="preserve">Each of the following constitutes an Event of Default under this Note:</w:t>
      </w:r>
    </w:p>
    <w:p>
      <w:pPr>
        <w:pStyle w:val="ListParagraph"/>
        <w:numPr>
          <w:ilvl w:val="0"/>
          <w:numId w:val="2"/>
        </w:numPr>
        <w:spacing w:before="40" w:after="40"/>
      </w:pPr>
      <w:r>
        <w:rPr>
          <w:rFonts w:ascii="Arial" w:cs="Arial" w:eastAsia="Arial" w:hAnsi="Arial"/>
          <w:color w:val="1A1A1A"/>
          <w:sz w:val="22"/>
          <w:szCs w:val="22"/>
        </w:rPr>
        <w:t xml:space="preserve">Failure to pay any amount due within 10 business days of the due date</w:t>
      </w:r>
    </w:p>
    <w:p>
      <w:pPr>
        <w:pStyle w:val="ListParagraph"/>
        <w:numPr>
          <w:ilvl w:val="0"/>
          <w:numId w:val="2"/>
        </w:numPr>
        <w:spacing w:before="40" w:after="40"/>
      </w:pPr>
      <w:r>
        <w:rPr>
          <w:rFonts w:ascii="Arial" w:cs="Arial" w:eastAsia="Arial" w:hAnsi="Arial"/>
          <w:color w:val="1A1A1A"/>
          <w:sz w:val="22"/>
          <w:szCs w:val="22"/>
        </w:rPr>
        <w:t xml:space="preserve">Material breach of any covenant, representation, or warranty</w:t>
      </w:r>
    </w:p>
    <w:p>
      <w:pPr>
        <w:pStyle w:val="ListParagraph"/>
        <w:numPr>
          <w:ilvl w:val="0"/>
          <w:numId w:val="2"/>
        </w:numPr>
        <w:spacing w:before="40" w:after="40"/>
      </w:pPr>
      <w:r>
        <w:rPr>
          <w:rFonts w:ascii="Arial" w:cs="Arial" w:eastAsia="Arial" w:hAnsi="Arial"/>
          <w:color w:val="1A1A1A"/>
          <w:sz w:val="22"/>
          <w:szCs w:val="22"/>
        </w:rPr>
        <w:t xml:space="preserve">Bankruptcy, insolvency, receivership, or dissolution of the Issuer</w:t>
      </w:r>
    </w:p>
    <w:p>
      <w:pPr>
        <w:pStyle w:val="ListParagraph"/>
        <w:numPr>
          <w:ilvl w:val="0"/>
          <w:numId w:val="2"/>
        </w:numPr>
        <w:spacing w:before="40" w:after="40"/>
      </w:pPr>
      <w:r>
        <w:rPr>
          <w:rFonts w:ascii="Arial" w:cs="Arial" w:eastAsia="Arial" w:hAnsi="Arial"/>
          <w:color w:val="1A1A1A"/>
          <w:sz w:val="22"/>
          <w:szCs w:val="22"/>
        </w:rPr>
        <w:t xml:space="preserve">Any judgment against Issuer that is not stayed or satisfied within 60 days</w:t>
      </w:r>
    </w:p>
    <w:p>
      <w:pPr>
        <w:spacing w:before="80" w:after="80"/>
      </w:pPr>
      <w:r>
        <w:rPr>
          <w:rFonts w:ascii="Arial" w:cs="Arial" w:eastAsia="Arial" w:hAnsi="Arial"/>
          <w:color w:val="1A1A1A"/>
          <w:sz w:val="22"/>
          <w:szCs w:val="22"/>
        </w:rPr>
        <w:t xml:space="preserve">Upon an Event of Default, the Holder may, at its option: (i) declare the entire outstanding principal immediately due and payable; (ii) elect immediate conversion at the terms hereof; or (iii) pursue any other remedy available at law or in equity.</w:t>
      </w:r>
    </w:p>
    <w:p>
      <w:pPr>
        <w:pStyle w:val="Heading1"/>
        <w:spacing w:before="320" w:after="120"/>
      </w:pPr>
      <w:r>
        <w:rPr>
          <w:rFonts w:ascii="Arial" w:cs="Arial" w:eastAsia="Arial" w:hAnsi="Arial"/>
          <w:b/>
          <w:bCs/>
          <w:color w:val="1B2E5E"/>
          <w:sz w:val="28"/>
          <w:szCs w:val="28"/>
        </w:rPr>
        <w:t xml:space="preserve">7. TRANSFERABILITY</w:t>
      </w:r>
    </w:p>
    <w:p>
      <w:pPr>
        <w:spacing w:before="80" w:after="80"/>
      </w:pPr>
      <w:r>
        <w:rPr>
          <w:rFonts w:ascii="Arial" w:cs="Arial" w:eastAsia="Arial" w:hAnsi="Arial"/>
          <w:color w:val="1A1A1A"/>
          <w:sz w:val="22"/>
          <w:szCs w:val="22"/>
        </w:rPr>
        <w:t xml:space="preserve">This Note may not be transferred or assigned by the Issuer without the prior written consent of the Holder. The Holder may transfer this Note to any affiliate or related entity without consent of the Issuer, provided that any other transfer requires written notice to the Issuer.</w:t>
      </w:r>
    </w:p>
    <w:p>
      <w:pPr>
        <w:pStyle w:val="Heading1"/>
        <w:spacing w:before="320" w:after="120"/>
      </w:pPr>
      <w:r>
        <w:rPr>
          <w:rFonts w:ascii="Arial" w:cs="Arial" w:eastAsia="Arial" w:hAnsi="Arial"/>
          <w:b/>
          <w:bCs/>
          <w:color w:val="1B2E5E"/>
          <w:sz w:val="28"/>
          <w:szCs w:val="28"/>
        </w:rPr>
        <w:t xml:space="preserve">8. GOVERNING LAW</w:t>
      </w:r>
    </w:p>
    <w:p>
      <w:pPr>
        <w:spacing w:before="80" w:after="80"/>
      </w:pPr>
      <w:r>
        <w:rPr>
          <w:rFonts w:ascii="Arial" w:cs="Arial" w:eastAsia="Arial" w:hAnsi="Arial"/>
          <w:color w:val="1A1A1A"/>
          <w:sz w:val="22"/>
          <w:szCs w:val="22"/>
        </w:rPr>
        <w:t xml:space="preserve">This Note shall be governed by the laws of the State of New York, United States. Disputes shall be resolved by binding arbitration through the American Arbitration Association (AAA) in New York, NY.</w:t>
      </w:r>
    </w:p>
    <w:p>
      <w:pPr>
        <w:pStyle w:val="Heading1"/>
        <w:spacing w:before="320" w:after="120"/>
      </w:pPr>
      <w:r>
        <w:rPr>
          <w:rFonts w:ascii="Arial" w:cs="Arial" w:eastAsia="Arial" w:hAnsi="Arial"/>
          <w:b/>
          <w:bCs/>
          <w:color w:val="1B2E5E"/>
          <w:sz w:val="28"/>
          <w:szCs w:val="28"/>
        </w:rPr>
        <w:t xml:space="preserve">9. MISCELLANEOUS</w:t>
      </w:r>
    </w:p>
    <w:p>
      <w:pPr>
        <w:spacing w:before="80" w:after="80"/>
      </w:pPr>
      <w:r>
        <w:rPr>
          <w:rFonts w:ascii="Arial" w:cs="Arial" w:eastAsia="Arial" w:hAnsi="Arial"/>
          <w:b/>
          <w:bCs/>
          <w:color w:val="1A1A1A"/>
          <w:sz w:val="22"/>
          <w:szCs w:val="22"/>
        </w:rPr>
        <w:t xml:space="preserve">9.1 Integration. </w:t>
      </w:r>
      <w:r>
        <w:rPr>
          <w:rFonts w:ascii="Arial" w:cs="Arial" w:eastAsia="Arial" w:hAnsi="Arial"/>
          <w:color w:val="1A1A1A"/>
          <w:sz w:val="22"/>
          <w:szCs w:val="22"/>
        </w:rPr>
        <w:t xml:space="preserve">This Note shall be read together with the Facility Agreement. In the event of conflict, the Facility Agreement shall govern.</w:t>
      </w:r>
    </w:p>
    <w:p>
      <w:pPr>
        <w:spacing w:before="80" w:after="80"/>
      </w:pPr>
      <w:r>
        <w:rPr>
          <w:rFonts w:ascii="Arial" w:cs="Arial" w:eastAsia="Arial" w:hAnsi="Arial"/>
          <w:b/>
          <w:bCs/>
          <w:color w:val="1A1A1A"/>
          <w:sz w:val="22"/>
          <w:szCs w:val="22"/>
        </w:rPr>
        <w:t xml:space="preserve">9.2 Amendments. </w:t>
      </w:r>
      <w:r>
        <w:rPr>
          <w:rFonts w:ascii="Arial" w:cs="Arial" w:eastAsia="Arial" w:hAnsi="Arial"/>
          <w:color w:val="1A1A1A"/>
          <w:sz w:val="22"/>
          <w:szCs w:val="22"/>
        </w:rPr>
        <w:t xml:space="preserve">This Note may not be amended except by written instrument signed by both Parties.</w:t>
      </w:r>
    </w:p>
    <w:p>
      <w:pPr>
        <w:spacing w:before="80" w:after="80"/>
      </w:pPr>
      <w:r>
        <w:rPr>
          <w:rFonts w:ascii="Arial" w:cs="Arial" w:eastAsia="Arial" w:hAnsi="Arial"/>
          <w:b/>
          <w:bCs/>
          <w:color w:val="1A1A1A"/>
          <w:sz w:val="22"/>
          <w:szCs w:val="22"/>
        </w:rPr>
        <w:t xml:space="preserve">9.3 Waiver. </w:t>
      </w:r>
      <w:r>
        <w:rPr>
          <w:rFonts w:ascii="Arial" w:cs="Arial" w:eastAsia="Arial" w:hAnsi="Arial"/>
          <w:color w:val="1A1A1A"/>
          <w:sz w:val="22"/>
          <w:szCs w:val="22"/>
        </w:rPr>
        <w:t xml:space="preserve">No waiver of any provision hereof shall be effective unless in writing.</w:t>
      </w:r>
    </w:p>
    <w:p>
      <w:pPr>
        <w:pBdr>
          <w:bottom w:val="single" w:color="1B2E5E" w:sz="8" w:space="1"/>
        </w:pBdr>
        <w:spacing w:before="200" w:after="200"/>
      </w:pPr>
    </w:p>
    <w:p>
      <w:pPr>
        <w:pStyle w:val="Heading1"/>
        <w:spacing w:before="320" w:after="120"/>
      </w:pPr>
      <w:r>
        <w:rPr>
          <w:rFonts w:ascii="Arial" w:cs="Arial" w:eastAsia="Arial" w:hAnsi="Arial"/>
          <w:b/>
          <w:bCs/>
          <w:color w:val="1B2E5E"/>
          <w:sz w:val="28"/>
          <w:szCs w:val="28"/>
        </w:rPr>
        <w:t xml:space="preserve">EXECUTION</w:t>
      </w:r>
    </w:p>
    <w:p>
      <w:pPr>
        <w:spacing w:before="80" w:after="80"/>
      </w:pPr>
      <w:r>
        <w:rPr>
          <w:rFonts w:ascii="Arial" w:cs="Arial" w:eastAsia="Arial" w:hAnsi="Arial"/>
          <w:color w:val="1A1A1A"/>
          <w:sz w:val="22"/>
          <w:szCs w:val="22"/>
        </w:rPr>
        <w:t xml:space="preserve">IN WITNESS WHEREOF, the Issuer has executed this Convertible Promissory Note as of the Note Date.</w:t>
      </w:r>
    </w:p>
    <w:p>
      <w:pPr>
        <w:spacing w:before="240" w:after="40"/>
      </w:pPr>
      <w:r>
        <w:rPr>
          <w:rFonts w:ascii="Arial" w:cs="Arial" w:eastAsia="Arial" w:hAnsi="Arial"/>
          <w:color w:val="1A1A1A"/>
          <w:sz w:val="22"/>
          <w:szCs w:val="22"/>
        </w:rPr>
        <w:t xml:space="preserve"/>
      </w:r>
    </w:p>
    <w:p>
      <w:r>
        <w:rPr>
          <w:rFonts w:ascii="Arial" w:cs="Arial" w:eastAsia="Arial" w:hAnsi="Arial"/>
          <w:b/>
          <w:bCs/>
          <w:color w:val="1A1A1A"/>
          <w:sz w:val="22"/>
          <w:szCs w:val="22"/>
        </w:rPr>
        <w:t xml:space="preserve">[BORROWER FULL LEGAL NAME] (ISSUER)</w:t>
      </w:r>
    </w:p>
    <w:p>
      <w:pPr>
        <w:spacing w:before="40" w:after="40"/>
      </w:pPr>
      <w:r>
        <w:rPr>
          <w:rFonts w:ascii="Arial" w:cs="Arial" w:eastAsia="Arial" w:hAnsi="Arial"/>
          <w:color w:val="1A1A1A"/>
          <w:sz w:val="22"/>
          <w:szCs w:val="22"/>
        </w:rPr>
        <w:t xml:space="preserve"/>
      </w:r>
    </w:p>
    <w:p>
      <w:r>
        <w:rPr>
          <w:rFonts w:ascii="Arial" w:cs="Arial" w:eastAsia="Arial" w:hAnsi="Arial"/>
          <w:b/>
          <w:bCs/>
          <w:color w:val="1A1A1A"/>
          <w:sz w:val="22"/>
          <w:szCs w:val="22"/>
        </w:rPr>
        <w:t xml:space="preserve">Signature: </w:t>
      </w:r>
      <w:r>
        <w:rPr>
          <w:rFonts w:ascii="Arial" w:cs="Arial" w:eastAsia="Arial" w:hAnsi="Arial"/>
          <w:color w:val="1A1A1A"/>
          <w:sz w:val="22"/>
          <w:szCs w:val="22"/>
        </w:rPr>
        <w:t xml:space="preserve">_________________________________</w:t>
      </w:r>
    </w:p>
    <w:p>
      <w:pPr>
        <w:spacing w:before="80" w:after="40"/>
      </w:pPr>
      <w:r>
        <w:rPr>
          <w:rFonts w:ascii="Arial" w:cs="Arial" w:eastAsia="Arial" w:hAnsi="Arial"/>
          <w:b/>
          <w:bCs/>
          <w:color w:val="1A1A1A"/>
          <w:sz w:val="22"/>
          <w:szCs w:val="22"/>
        </w:rPr>
        <w:t xml:space="preserve">Name: </w:t>
      </w:r>
      <w:r>
        <w:rPr>
          <w:rFonts w:ascii="Arial" w:cs="Arial" w:eastAsia="Arial" w:hAnsi="Arial"/>
          <w:color w:val="1A1A1A"/>
          <w:sz w:val="22"/>
          <w:szCs w:val="22"/>
        </w:rPr>
        <w:t xml:space="preserve">[AUTHORIZED SIGNATORY]</w:t>
      </w:r>
    </w:p>
    <w:p>
      <w:pPr>
        <w:spacing w:before="40" w:after="40"/>
      </w:pPr>
      <w:r>
        <w:rPr>
          <w:rFonts w:ascii="Arial" w:cs="Arial" w:eastAsia="Arial" w:hAnsi="Arial"/>
          <w:b/>
          <w:bCs/>
          <w:color w:val="1A1A1A"/>
          <w:sz w:val="22"/>
          <w:szCs w:val="22"/>
        </w:rPr>
        <w:t xml:space="preserve">Title: </w:t>
      </w:r>
      <w:r>
        <w:rPr>
          <w:rFonts w:ascii="Arial" w:cs="Arial" w:eastAsia="Arial" w:hAnsi="Arial"/>
          <w:color w:val="1A1A1A"/>
          <w:sz w:val="22"/>
          <w:szCs w:val="22"/>
        </w:rPr>
        <w:t xml:space="preserve">[TITLE]</w:t>
      </w:r>
    </w:p>
    <w:p>
      <w:pPr>
        <w:spacing w:before="40" w:after="40"/>
      </w:pPr>
      <w:r>
        <w:rPr>
          <w:rFonts w:ascii="Arial" w:cs="Arial" w:eastAsia="Arial" w:hAnsi="Arial"/>
          <w:b/>
          <w:bCs/>
          <w:color w:val="1A1A1A"/>
          <w:sz w:val="22"/>
          <w:szCs w:val="22"/>
        </w:rPr>
        <w:t xml:space="preserve">Date: </w:t>
      </w:r>
      <w:r>
        <w:rPr>
          <w:rFonts w:ascii="Arial" w:cs="Arial" w:eastAsia="Arial" w:hAnsi="Arial"/>
          <w:color w:val="1A1A1A"/>
          <w:sz w:val="22"/>
          <w:szCs w:val="22"/>
        </w:rPr>
        <w:t xml:space="preserve">_________________________________</w:t>
      </w:r>
    </w:p>
    <w:p>
      <w:pPr>
        <w:spacing w:before="120" w:after="40"/>
      </w:pPr>
      <w:r>
        <w:rPr>
          <w:rFonts w:ascii="Arial" w:cs="Arial" w:eastAsia="Arial" w:hAnsi="Arial"/>
          <w:color w:val="1A1A1A"/>
          <w:sz w:val="22"/>
          <w:szCs w:val="22"/>
        </w:rPr>
        <w:t xml:space="preserve"/>
      </w:r>
    </w:p>
    <w:p>
      <w:pPr>
        <w:spacing w:before="80" w:after="80"/>
      </w:pPr>
      <w:r>
        <w:rPr>
          <w:rFonts w:ascii="Arial" w:cs="Arial" w:eastAsia="Arial" w:hAnsi="Arial"/>
          <w:color w:val="1A1A1A"/>
          <w:sz w:val="22"/>
          <w:szCs w:val="22"/>
        </w:rPr>
        <w:t xml:space="preserve">ACKNOWLEDGED AND ACCEPTED BY:</w:t>
      </w:r>
    </w:p>
    <w:p>
      <w:pPr>
        <w:spacing w:before="240" w:after="40"/>
      </w:pPr>
      <w:r>
        <w:rPr>
          <w:rFonts w:ascii="Arial" w:cs="Arial" w:eastAsia="Arial" w:hAnsi="Arial"/>
          <w:color w:val="1A1A1A"/>
          <w:sz w:val="22"/>
          <w:szCs w:val="22"/>
        </w:rPr>
        <w:t xml:space="preserve"/>
      </w:r>
    </w:p>
    <w:p>
      <w:r>
        <w:rPr>
          <w:rFonts w:ascii="Arial" w:cs="Arial" w:eastAsia="Arial" w:hAnsi="Arial"/>
          <w:b/>
          <w:bCs/>
          <w:color w:val="1A1A1A"/>
          <w:sz w:val="22"/>
          <w:szCs w:val="22"/>
        </w:rPr>
        <w:t xml:space="preserve">ALTIQA MULTI-FAMILY OFFICE PTE. LTD. (HOLDER)</w:t>
      </w:r>
    </w:p>
    <w:p>
      <w:pPr>
        <w:spacing w:before="40" w:after="40"/>
      </w:pPr>
      <w:r>
        <w:rPr>
          <w:rFonts w:ascii="Arial" w:cs="Arial" w:eastAsia="Arial" w:hAnsi="Arial"/>
          <w:color w:val="1A1A1A"/>
          <w:sz w:val="22"/>
          <w:szCs w:val="22"/>
        </w:rPr>
        <w:t xml:space="preserve"/>
      </w:r>
    </w:p>
    <w:p>
      <w:r>
        <w:rPr>
          <w:rFonts w:ascii="Arial" w:cs="Arial" w:eastAsia="Arial" w:hAnsi="Arial"/>
          <w:b/>
          <w:bCs/>
          <w:color w:val="1A1A1A"/>
          <w:sz w:val="22"/>
          <w:szCs w:val="22"/>
        </w:rPr>
        <w:t xml:space="preserve">Signature: </w:t>
      </w:r>
      <w:r>
        <w:rPr>
          <w:rFonts w:ascii="Arial" w:cs="Arial" w:eastAsia="Arial" w:hAnsi="Arial"/>
          <w:color w:val="1A1A1A"/>
          <w:sz w:val="22"/>
          <w:szCs w:val="22"/>
        </w:rPr>
        <w:t xml:space="preserve">_________________________________</w:t>
      </w:r>
    </w:p>
    <w:p>
      <w:pPr>
        <w:spacing w:before="80" w:after="40"/>
      </w:pPr>
      <w:r>
        <w:rPr>
          <w:rFonts w:ascii="Arial" w:cs="Arial" w:eastAsia="Arial" w:hAnsi="Arial"/>
          <w:b/>
          <w:bCs/>
          <w:color w:val="1A1A1A"/>
          <w:sz w:val="22"/>
          <w:szCs w:val="22"/>
        </w:rPr>
        <w:t xml:space="preserve">Name: </w:t>
      </w:r>
      <w:r>
        <w:rPr>
          <w:rFonts w:ascii="Arial" w:cs="Arial" w:eastAsia="Arial" w:hAnsi="Arial"/>
          <w:color w:val="1A1A1A"/>
          <w:sz w:val="22"/>
          <w:szCs w:val="22"/>
        </w:rPr>
        <w:t xml:space="preserve">Roy Pang</w:t>
      </w:r>
    </w:p>
    <w:p>
      <w:pPr>
        <w:spacing w:before="40" w:after="40"/>
      </w:pPr>
      <w:r>
        <w:rPr>
          <w:rFonts w:ascii="Arial" w:cs="Arial" w:eastAsia="Arial" w:hAnsi="Arial"/>
          <w:b/>
          <w:bCs/>
          <w:color w:val="1A1A1A"/>
          <w:sz w:val="22"/>
          <w:szCs w:val="22"/>
        </w:rPr>
        <w:t xml:space="preserve">Title: </w:t>
      </w:r>
      <w:r>
        <w:rPr>
          <w:rFonts w:ascii="Arial" w:cs="Arial" w:eastAsia="Arial" w:hAnsi="Arial"/>
          <w:color w:val="1A1A1A"/>
          <w:sz w:val="22"/>
          <w:szCs w:val="22"/>
        </w:rPr>
        <w:t xml:space="preserve">Wealth Management Director</w:t>
      </w:r>
    </w:p>
    <w:p>
      <w:pPr>
        <w:spacing w:before="40" w:after="40"/>
      </w:pPr>
      <w:r>
        <w:rPr>
          <w:rFonts w:ascii="Arial" w:cs="Arial" w:eastAsia="Arial" w:hAnsi="Arial"/>
          <w:b/>
          <w:bCs/>
          <w:color w:val="1A1A1A"/>
          <w:sz w:val="22"/>
          <w:szCs w:val="22"/>
        </w:rPr>
        <w:t xml:space="preserve">Date: </w:t>
      </w:r>
      <w:r>
        <w:rPr>
          <w:rFonts w:ascii="Arial" w:cs="Arial" w:eastAsia="Arial" w:hAnsi="Arial"/>
          <w:color w:val="1A1A1A"/>
          <w:sz w:val="22"/>
          <w:szCs w:val="22"/>
        </w:rPr>
        <w:t xml:space="preserve">_________________________________</w:t>
      </w:r>
    </w:p>
    <w:sectPr>
      <w:headerReference w:type="default" r:id="rId6"/>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6E0" w:sz="4" w:space="1"/>
      </w:pBdr>
      <w:tabs>
        <w:tab w:val="center" w:pos="4680"/>
        <w:tab w:val="right" w:pos="9360"/>
      </w:tabs>
      <w:spacing w:before="120" w:after="0"/>
    </w:pPr>
    <w:r>
      <w:rPr>
        <w:rFonts w:ascii="Arial" w:cs="Arial" w:eastAsia="Arial" w:hAnsi="Arial"/>
        <w:color w:val="888888"/>
        <w:sz w:val="16"/>
        <w:szCs w:val="16"/>
      </w:rPr>
      <w:t xml:space="preserve">Altiqa Multi-Family Office Pte. Ltd.</w:t>
    </w:r>
    <w:r>
      <w:rPr>
        <w:rFonts w:ascii="Arial" w:cs="Arial" w:eastAsia="Arial" w:hAnsi="Arial"/>
        <w:color w:val="888888"/>
        <w:sz w:val="16"/>
        <w:szCs w:val="16"/>
      </w:rPr>
      <w:t xml:space="preserve">	Convertible Promissory Note	</w:t>
    </w:r>
    <w:r>
      <w:rPr>
        <w:rFonts w:ascii="Arial" w:cs="Arial" w:eastAsia="Arial" w:hAnsi="Arial"/>
        <w:color w:val="888888"/>
        <w:sz w:val="16"/>
        <w:szCs w:val="16"/>
      </w:rPr>
      <w:pgNum/>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1B2E5E" w:sz="4" w:space="1"/>
      </w:pBdr>
      <w:spacing w:before="0" w:after="160"/>
      <w:jc w:val="right"/>
    </w:pPr>
    <w:r>
      <w:rPr>
        <w:rFonts w:ascii="Arial" w:cs="Arial" w:eastAsia="Arial" w:hAnsi="Arial"/>
        <w:b/>
        <w:bCs/>
        <w:color w:val="1F7A8C"/>
        <w:sz w:val="16"/>
        <w:szCs w:val="16"/>
      </w:rPr>
      <w:t xml:space="preserve">ALTIQA MULTI-FAMILY OFFICE | CONFIDENTIAL</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080" w:hanging="360"/>
      </w:pPr>
    </w:lvl>
  </w:abstractNum>
  <w:abstractNum w:abstractNumId="3" w15:restartNumberingAfterBreak="0">
    <w:multiLevelType w:val="hybridMultilevel"/>
    <w:lvl w:ilvl="0" w15:tentative="1">
      <w:start w:val="1"/>
      <w:numFmt w:val="decimal"/>
      <w:lvlText w:val="%1."/>
      <w:lvlJc w:val="left"/>
      <w:pPr>
        <w:ind w:left="720" w:hanging="360"/>
      </w:pPr>
    </w:lvl>
    <w:lvl w:ilvl="1" w15:tentative="1">
      <w:start w:val="1"/>
      <w:numFmt w:val="lowerLetter"/>
      <w:lvlText w:val="%2."/>
      <w:lvlJc w:val="left"/>
      <w:pPr>
        <w:ind w:left="108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A1A1A"/>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Heading1">
    <w:name w:val="Heading 1"/>
    <w:basedOn w:val="Normal"/>
    <w:next w:val="Normal"/>
    <w:qFormat/>
    <w:pPr>
      <w:spacing w:before="320" w:after="120"/>
      <w:outlineLvl w:val="0"/>
    </w:pPr>
    <w:rPr>
      <w:rFonts w:ascii="Arial" w:cs="Arial" w:eastAsia="Arial" w:hAnsi="Arial"/>
      <w:b/>
      <w:bCs/>
      <w:color w:val="1B2E5E"/>
      <w:sz w:val="28"/>
      <w:szCs w:val="28"/>
    </w:rPr>
  </w:style>
  <w:style w:type="paragraph" w:styleId="Heading2">
    <w:name w:val="Heading 2"/>
    <w:basedOn w:val="Normal"/>
    <w:next w:val="Normal"/>
    <w:qFormat/>
    <w:pPr>
      <w:spacing w:before="240" w:after="100"/>
      <w:outlineLvl w:val="1"/>
    </w:pPr>
    <w:rPr>
      <w:rFonts w:ascii="Arial" w:cs="Arial" w:eastAsia="Arial" w:hAnsi="Arial"/>
      <w:b/>
      <w:bCs/>
      <w:color w:val="1F7A8C"/>
      <w:sz w:val="24"/>
      <w:szCs w:val="24"/>
    </w:rPr>
  </w:style>
  <w:style w:type="paragraph" w:styleId="Heading3">
    <w:name w:val="Heading 3"/>
    <w:basedOn w:val="Normal"/>
    <w:next w:val="Normal"/>
    <w:qFormat/>
    <w:pPr>
      <w:spacing w:before="180" w:after="80"/>
      <w:outlineLvl w:val="2"/>
    </w:pPr>
    <w:rPr>
      <w:rFonts w:ascii="Arial" w:cs="Arial" w:eastAsia="Arial" w:hAnsi="Arial"/>
      <w:b/>
      <w:bCs/>
      <w:color w:val="C8963E"/>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2026-03-29T12:49:31.459Z</dcterms:created>
  <dcterms:modified xsi:type="dcterms:W3CDTF">2026-03-29T12:49:31.459Z</dcterms:modified>
</cp:coreProperties>
</file>

<file path=docProps/custom.xml><?xml version="1.0" encoding="utf-8"?>
<Properties xmlns="http://schemas.openxmlformats.org/officeDocument/2006/custom-properties" xmlns:vt="http://schemas.openxmlformats.org/officeDocument/2006/docPropsVTypes"/>
</file>