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71F" w:rsidRDefault="00B74EB4">
      <w:pPr>
        <w:spacing w:before="480" w:after="160"/>
        <w:jc w:val="center"/>
      </w:pPr>
      <w:r>
        <w:rPr>
          <w:b/>
          <w:bCs/>
          <w:color w:val="1B2E5E"/>
          <w:sz w:val="40"/>
          <w:szCs w:val="40"/>
        </w:rPr>
        <w:t>CREDIT FINANCING AGREEMENT</w:t>
      </w:r>
    </w:p>
    <w:p w:rsidR="002F271F" w:rsidRDefault="00B74EB4">
      <w:pPr>
        <w:spacing w:after="120"/>
        <w:jc w:val="center"/>
      </w:pPr>
      <w:r>
        <w:rPr>
          <w:i/>
          <w:iCs/>
          <w:color w:val="1F7A8C"/>
          <w:sz w:val="24"/>
          <w:szCs w:val="24"/>
        </w:rPr>
        <w:t>Convertible Line of Credit Facility</w:t>
      </w:r>
    </w:p>
    <w:p w:rsidR="002F271F" w:rsidRDefault="00B74EB4">
      <w:pPr>
        <w:spacing w:after="480"/>
        <w:jc w:val="center"/>
      </w:pPr>
      <w:r>
        <w:rPr>
          <w:color w:val="888888"/>
          <w:sz w:val="20"/>
          <w:szCs w:val="20"/>
        </w:rPr>
        <w:t>Dated: [INSERT DATE]</w:t>
      </w:r>
    </w:p>
    <w:p w:rsidR="002F271F" w:rsidRDefault="002F271F">
      <w:pPr>
        <w:pBdr>
          <w:bottom w:val="single" w:sz="8" w:space="1" w:color="1B2E5E"/>
        </w:pBdr>
        <w:spacing w:before="200" w:after="200"/>
      </w:pPr>
    </w:p>
    <w:p w:rsidR="002F271F" w:rsidRDefault="00B74EB4">
      <w:pPr>
        <w:spacing w:before="80" w:after="80"/>
      </w:pPr>
      <w:r>
        <w:t xml:space="preserve">This Credit Financing Agreement (the "Agreement") is made and entered into as of </w:t>
      </w:r>
      <w:r>
        <w:rPr>
          <w:b/>
          <w:bCs/>
          <w:color w:val="CC0000"/>
        </w:rPr>
        <w:t>[DATE]</w:t>
      </w:r>
      <w:r>
        <w:t>, by and between:</w:t>
      </w:r>
    </w:p>
    <w:p w:rsidR="002F271F" w:rsidRDefault="002F271F">
      <w:pPr>
        <w:spacing w:before="80" w:after="80"/>
      </w:pPr>
    </w:p>
    <w:p w:rsidR="002F271F" w:rsidRDefault="00B74EB4">
      <w:pPr>
        <w:spacing w:before="120" w:after="60"/>
      </w:pPr>
      <w:r>
        <w:rPr>
          <w:b/>
          <w:bCs/>
        </w:rPr>
        <w:t>LENDER:</w:t>
      </w:r>
      <w:r>
        <w:t xml:space="preserve"> </w:t>
      </w:r>
      <w:proofErr w:type="spellStart"/>
      <w:r>
        <w:t>Altiqa</w:t>
      </w:r>
      <w:proofErr w:type="spellEnd"/>
      <w:r>
        <w:t xml:space="preserve"> Multi-Family Office Pte. Ltd. ("</w:t>
      </w:r>
      <w:proofErr w:type="spellStart"/>
      <w:r>
        <w:t>Altiqa</w:t>
      </w:r>
      <w:proofErr w:type="spellEnd"/>
      <w:r>
        <w:t>" or "</w:t>
      </w:r>
      <w:r>
        <w:t>Lender")</w:t>
      </w:r>
    </w:p>
    <w:p w:rsidR="002F271F" w:rsidRDefault="00B74EB4">
      <w:pPr>
        <w:spacing w:after="60"/>
      </w:pPr>
      <w:r>
        <w:t>A family office duly organized and existing under the laws of Monaco</w:t>
      </w:r>
    </w:p>
    <w:p w:rsidR="002F271F" w:rsidRDefault="00B74EB4">
      <w:pPr>
        <w:spacing w:after="120"/>
      </w:pPr>
      <w:proofErr w:type="gramStart"/>
      <w:r>
        <w:t xml:space="preserve">74 Boulevard </w:t>
      </w:r>
      <w:proofErr w:type="spellStart"/>
      <w:r>
        <w:t>d'Italie</w:t>
      </w:r>
      <w:proofErr w:type="spellEnd"/>
      <w:r>
        <w:t>, Building E/F, Monte Carlo, 98000, Monaco US Branch:</w:t>
      </w:r>
      <w:proofErr w:type="gramEnd"/>
      <w:r>
        <w:t xml:space="preserve"> One Manhattan West, 401 9th Avenue, New York, NY 10001 Represented by: Roy Pang, Wealth Management Dire</w:t>
      </w:r>
      <w:r>
        <w:t>ctor</w:t>
      </w:r>
    </w:p>
    <w:p w:rsidR="002F271F" w:rsidRDefault="00B74EB4">
      <w:pPr>
        <w:spacing w:before="80" w:after="80"/>
      </w:pPr>
      <w:r>
        <w:rPr>
          <w:b/>
          <w:bCs/>
        </w:rPr>
        <w:t>AND</w:t>
      </w:r>
    </w:p>
    <w:p w:rsidR="002F271F" w:rsidRDefault="002F271F">
      <w:pPr>
        <w:spacing w:before="40" w:after="40"/>
      </w:pPr>
    </w:p>
    <w:p w:rsidR="002F271F" w:rsidRDefault="00B74EB4">
      <w:pPr>
        <w:spacing w:before="120" w:after="60"/>
      </w:pPr>
      <w:r>
        <w:rPr>
          <w:b/>
          <w:bCs/>
        </w:rPr>
        <w:t>BORROWER:</w:t>
      </w:r>
      <w:r>
        <w:t xml:space="preserve"> [BORROWER FULL LEGAL NAME] ("Borrower")</w:t>
      </w:r>
    </w:p>
    <w:p w:rsidR="002F271F" w:rsidRDefault="00B74EB4">
      <w:pPr>
        <w:spacing w:after="60"/>
      </w:pPr>
      <w:r>
        <w:t>A company duly organized and existing under the laws of [STATE/COUNTRY]</w:t>
      </w:r>
    </w:p>
    <w:p w:rsidR="002F271F" w:rsidRDefault="00B74EB4">
      <w:pPr>
        <w:spacing w:after="120"/>
      </w:pPr>
      <w:r>
        <w:t>[FULL REGISTERED ADDRESS] Represented by: [NAME, TITLE]</w:t>
      </w:r>
    </w:p>
    <w:p w:rsidR="002F271F" w:rsidRDefault="002F271F">
      <w:pPr>
        <w:spacing w:before="80" w:after="80"/>
      </w:pPr>
    </w:p>
    <w:p w:rsidR="002F271F" w:rsidRDefault="00B74EB4">
      <w:pPr>
        <w:spacing w:before="80" w:after="80"/>
      </w:pPr>
      <w:r>
        <w:t>The Lender and the Borrower are hereinafter referred to collectivel</w:t>
      </w:r>
      <w:r>
        <w:t>y as the "Parties" and individually as a "Party".</w:t>
      </w:r>
    </w:p>
    <w:p w:rsidR="002F271F" w:rsidRDefault="00B74EB4">
      <w:pPr>
        <w:pStyle w:val="Heading1"/>
      </w:pPr>
      <w:r>
        <w:t>RECITALS</w:t>
      </w:r>
    </w:p>
    <w:p w:rsidR="002F271F" w:rsidRDefault="00B74EB4">
      <w:pPr>
        <w:spacing w:before="80" w:after="80"/>
      </w:pPr>
      <w:r>
        <w:t xml:space="preserve">WHEREAS, the Borrower has requested a credit facility from the Lender to support </w:t>
      </w:r>
      <w:r>
        <w:rPr>
          <w:b/>
          <w:bCs/>
          <w:color w:val="CC0000"/>
        </w:rPr>
        <w:t>[[DESCRIBE PURPOSE — e.g. expansion of clinical capabilities, commercial readiness, operational growth, working capi</w:t>
      </w:r>
      <w:r>
        <w:rPr>
          <w:b/>
          <w:bCs/>
          <w:color w:val="CC0000"/>
        </w:rPr>
        <w:t>tal]]</w:t>
      </w:r>
      <w:r>
        <w:t>;</w:t>
      </w:r>
    </w:p>
    <w:p w:rsidR="002F271F" w:rsidRDefault="00B74EB4">
      <w:pPr>
        <w:spacing w:before="80" w:after="80"/>
      </w:pPr>
      <w:r>
        <w:t>WHEREAS, the Lender has agreed to provide such a credit facility on the terms and conditions set forth in this Agreement.</w:t>
      </w:r>
    </w:p>
    <w:p w:rsidR="002F271F" w:rsidRDefault="00B74EB4">
      <w:pPr>
        <w:spacing w:before="80" w:after="80"/>
      </w:pPr>
      <w:r>
        <w:t>NOW, THEREFORE, in consideration of the mutual covenants and promises contained herein, the Parties agree as follows:</w:t>
      </w:r>
    </w:p>
    <w:p w:rsidR="002F271F" w:rsidRDefault="00B74EB4">
      <w:pPr>
        <w:pStyle w:val="Heading1"/>
      </w:pPr>
      <w:r>
        <w:t>1. CREDIT</w:t>
      </w:r>
      <w:r>
        <w:t xml:space="preserve"> FACILITY</w:t>
      </w:r>
    </w:p>
    <w:p w:rsidR="002F271F" w:rsidRDefault="00B74EB4">
      <w:pPr>
        <w:spacing w:before="80" w:after="80"/>
      </w:pPr>
      <w:r>
        <w:rPr>
          <w:b/>
          <w:bCs/>
        </w:rPr>
        <w:t xml:space="preserve">1.1 Credit Line Amount. </w:t>
      </w:r>
      <w:r>
        <w:t xml:space="preserve">The Lender agrees to provide the Borrower with an unsecured commercial line of credit in the principal amount of </w:t>
      </w:r>
      <w:r>
        <w:rPr>
          <w:b/>
          <w:bCs/>
          <w:color w:val="CC0000"/>
        </w:rPr>
        <w:t>[USD $[AMOUNT]]</w:t>
      </w:r>
      <w:r>
        <w:t xml:space="preserve"> (the "Credit Facility").</w:t>
      </w:r>
    </w:p>
    <w:p w:rsidR="002F271F" w:rsidRDefault="00B74EB4">
      <w:pPr>
        <w:spacing w:before="80" w:after="80"/>
      </w:pPr>
      <w:r>
        <w:rPr>
          <w:b/>
          <w:bCs/>
        </w:rPr>
        <w:t xml:space="preserve">1.2 Availability. </w:t>
      </w:r>
      <w:r>
        <w:t>The Credit Facility shall be available for drawdown by the Borrower during the Availability Period, subject to the satisfaction of all conditions precedent set forth in Section 7.</w:t>
      </w:r>
    </w:p>
    <w:p w:rsidR="002F271F" w:rsidRDefault="00B74EB4">
      <w:pPr>
        <w:spacing w:before="80" w:after="80"/>
      </w:pPr>
      <w:r>
        <w:rPr>
          <w:b/>
          <w:bCs/>
        </w:rPr>
        <w:t xml:space="preserve">1.3 Nature. </w:t>
      </w:r>
      <w:r>
        <w:t>The Credit Facility is unsecured. No collateral is required from</w:t>
      </w:r>
      <w:r>
        <w:t xml:space="preserve"> the Borrower.</w:t>
      </w:r>
    </w:p>
    <w:p w:rsidR="002F271F" w:rsidRDefault="00B74EB4">
      <w:pPr>
        <w:pStyle w:val="Heading1"/>
      </w:pPr>
      <w:r>
        <w:lastRenderedPageBreak/>
        <w:t>2. REPAYMENT TERMS</w:t>
      </w:r>
    </w:p>
    <w:p w:rsidR="002F271F" w:rsidRDefault="00B74EB4">
      <w:pPr>
        <w:spacing w:before="80" w:after="80"/>
      </w:pPr>
      <w:r>
        <w:rPr>
          <w:b/>
          <w:bCs/>
        </w:rPr>
        <w:t xml:space="preserve">2.1 Moratorium Period. </w:t>
      </w:r>
      <w:r>
        <w:t>Interest shall accrue at 5% per annum (fixed) on each drawn amount from the date of such draw. No periodic interest or principal payments are required during the facility term.</w:t>
      </w:r>
    </w:p>
    <w:p w:rsidR="002F271F" w:rsidRDefault="00B74EB4">
      <w:pPr>
        <w:spacing w:before="80" w:after="80"/>
      </w:pPr>
      <w:r>
        <w:rPr>
          <w:b/>
          <w:bCs/>
        </w:rPr>
        <w:t xml:space="preserve">2.2 Interest Rate. </w:t>
      </w:r>
      <w:r>
        <w:t>Interest shall accrue at the rate of 5% per annum (fixed) on the drawn amount. No periodic interest payments are required during the facility term; accrued interest is payable in full at maturity together with principal, unless converted pursuant to Sectio</w:t>
      </w:r>
      <w:r>
        <w:t>n 3.</w:t>
      </w:r>
    </w:p>
    <w:p w:rsidR="002F271F" w:rsidRDefault="00B74EB4">
      <w:pPr>
        <w:spacing w:before="80" w:after="80"/>
      </w:pPr>
      <w:r>
        <w:rPr>
          <w:b/>
          <w:bCs/>
        </w:rPr>
        <w:t xml:space="preserve">2.3 Maturity. </w:t>
      </w:r>
      <w:r>
        <w:t xml:space="preserve">The outstanding principal and all accrued interest shall be due for repayment or, at the Borrower's election, converted to equity, at the end of </w:t>
      </w:r>
      <w:r>
        <w:rPr>
          <w:b/>
          <w:bCs/>
          <w:color w:val="CC0000"/>
        </w:rPr>
        <w:t>36 months (3 years)</w:t>
      </w:r>
      <w:r>
        <w:t xml:space="preserve"> from the date of first disbursement (the "Maturity Date"), unless conver</w:t>
      </w:r>
      <w:r>
        <w:t>ted pursuant to Section 3 or prepaid pursuant to Section 2.4.</w:t>
      </w:r>
    </w:p>
    <w:p w:rsidR="002F271F" w:rsidRDefault="00B74EB4">
      <w:pPr>
        <w:spacing w:before="80" w:after="80"/>
      </w:pPr>
      <w:r>
        <w:rPr>
          <w:b/>
          <w:bCs/>
        </w:rPr>
        <w:t xml:space="preserve">2.4 Prepayment. </w:t>
      </w:r>
      <w:r>
        <w:t>The Borrower may prepay any portion of the drawn balance without penalty, provided that 30 days' written notice is given to the Lender.</w:t>
      </w:r>
    </w:p>
    <w:p w:rsidR="002F271F" w:rsidRDefault="00B74EB4">
      <w:pPr>
        <w:pStyle w:val="Heading1"/>
      </w:pPr>
      <w:r>
        <w:t>3. CONVERSION OPTION</w:t>
      </w:r>
    </w:p>
    <w:p w:rsidR="002F271F" w:rsidRDefault="00B74EB4">
      <w:pPr>
        <w:spacing w:before="80" w:after="80"/>
      </w:pPr>
      <w:r>
        <w:rPr>
          <w:b/>
          <w:bCs/>
        </w:rPr>
        <w:t>3.1 Conversion Right.</w:t>
      </w:r>
      <w:r>
        <w:rPr>
          <w:b/>
          <w:bCs/>
        </w:rPr>
        <w:t xml:space="preserve"> </w:t>
      </w:r>
      <w:r>
        <w:t>At the Maturity Date, the Borrower may elect to repay the outstanding principal and all accrued interest in full, or convert such amounts into Preferred Shares of the Borrower at no discount to the conversion valuation determined pursuant to Section 3.2.</w:t>
      </w:r>
    </w:p>
    <w:p w:rsidR="002F271F" w:rsidRDefault="00B74EB4">
      <w:pPr>
        <w:spacing w:before="80" w:after="80"/>
      </w:pPr>
      <w:r>
        <w:rPr>
          <w:b/>
          <w:bCs/>
        </w:rPr>
        <w:t xml:space="preserve">3.2 Valuation Mechanism. </w:t>
      </w:r>
      <w:r>
        <w:t>Conversion valuation shall be determined through an independent third-party valuation firm appointed by the Company. Conversion shall occur at a mutually agreed valuation, subject to negotiations at the time of conversion.</w:t>
      </w:r>
    </w:p>
    <w:p w:rsidR="002F271F" w:rsidRDefault="00B74EB4">
      <w:pPr>
        <w:spacing w:before="80" w:after="80"/>
      </w:pPr>
      <w:r>
        <w:rPr>
          <w:b/>
          <w:bCs/>
        </w:rPr>
        <w:t>3.3 Conv</w:t>
      </w:r>
      <w:r>
        <w:rPr>
          <w:b/>
          <w:bCs/>
        </w:rPr>
        <w:t xml:space="preserve">ersion Discount. </w:t>
      </w:r>
      <w:r>
        <w:rPr>
          <w:b/>
          <w:bCs/>
          <w:color w:val="CC0000"/>
        </w:rPr>
        <w:t>No discount. Conversion, if elected by the Borrower, occurs at the independent third-party valuation determined pursuant to Section 3.2.</w:t>
      </w:r>
    </w:p>
    <w:p w:rsidR="002F271F" w:rsidRDefault="00B74EB4">
      <w:pPr>
        <w:spacing w:before="80" w:after="80"/>
      </w:pPr>
      <w:r>
        <w:rPr>
          <w:b/>
          <w:bCs/>
        </w:rPr>
        <w:t xml:space="preserve">3.4 Valuation Cap. </w:t>
      </w:r>
      <w:r>
        <w:rPr>
          <w:b/>
          <w:bCs/>
          <w:color w:val="CC0000"/>
        </w:rPr>
        <w:t>[[PLACEHOLDER: USD $[X</w:t>
      </w:r>
      <w:proofErr w:type="gramStart"/>
      <w:r>
        <w:rPr>
          <w:b/>
          <w:bCs/>
          <w:color w:val="CC0000"/>
        </w:rPr>
        <w:t>]M</w:t>
      </w:r>
      <w:proofErr w:type="gramEnd"/>
      <w:r>
        <w:rPr>
          <w:b/>
          <w:bCs/>
          <w:color w:val="CC0000"/>
        </w:rPr>
        <w:t xml:space="preserve"> maximum valuation cap — TO BE AGREED PER DEAL]]</w:t>
      </w:r>
    </w:p>
    <w:p w:rsidR="002F271F" w:rsidRDefault="00B74EB4">
      <w:pPr>
        <w:spacing w:before="80" w:after="80"/>
      </w:pPr>
      <w:r>
        <w:rPr>
          <w:b/>
          <w:bCs/>
        </w:rPr>
        <w:t>3.5 Equity</w:t>
      </w:r>
      <w:r>
        <w:rPr>
          <w:b/>
          <w:bCs/>
        </w:rPr>
        <w:t xml:space="preserve"> Type. </w:t>
      </w:r>
      <w:r>
        <w:t>Conversion shall be into Preferred Shares, subject to customary rights and protections (liquidation preference, anti-dilution protection, etc.) and in compliance with U.S. securities law.</w:t>
      </w:r>
    </w:p>
    <w:p w:rsidR="002F271F" w:rsidRDefault="00B74EB4">
      <w:pPr>
        <w:spacing w:before="80" w:after="80"/>
      </w:pPr>
      <w:r>
        <w:rPr>
          <w:b/>
          <w:bCs/>
        </w:rPr>
        <w:t xml:space="preserve">3.6 Trigger Events. </w:t>
      </w:r>
      <w:r>
        <w:t>In addition to maturity, conversion may b</w:t>
      </w:r>
      <w:r>
        <w:t xml:space="preserve">e triggered by: (i) a qualified financing round; (ii) an acquisition or change of control; (iii) an IPO filing; </w:t>
      </w:r>
      <w:proofErr w:type="gramStart"/>
      <w:r>
        <w:t>(iv) a</w:t>
      </w:r>
      <w:proofErr w:type="gramEnd"/>
      <w:r>
        <w:t xml:space="preserve"> revenue milestone as agreed by the Parties; (v) mutual written agreement; or (vi) an Event of Default.</w:t>
      </w:r>
    </w:p>
    <w:p w:rsidR="002F271F" w:rsidRDefault="00B74EB4">
      <w:pPr>
        <w:pStyle w:val="Heading1"/>
      </w:pPr>
      <w:r>
        <w:t>4. DRAWDOWN</w:t>
      </w:r>
    </w:p>
    <w:p w:rsidR="002F271F" w:rsidRDefault="00B74EB4">
      <w:pPr>
        <w:spacing w:before="80" w:after="80"/>
      </w:pPr>
      <w:r>
        <w:rPr>
          <w:b/>
          <w:bCs/>
        </w:rPr>
        <w:t xml:space="preserve">4.1 Draw Requests. </w:t>
      </w:r>
      <w:r>
        <w:t>The</w:t>
      </w:r>
      <w:r>
        <w:t xml:space="preserve"> Borrower shall submit draw requests to the Lender by written notice using the Draw Request Form provided by </w:t>
      </w:r>
      <w:proofErr w:type="spellStart"/>
      <w:r>
        <w:t>Altiqa</w:t>
      </w:r>
      <w:proofErr w:type="spellEnd"/>
      <w:r>
        <w:t>, specifying the amount and destination account.</w:t>
      </w:r>
    </w:p>
    <w:p w:rsidR="002F271F" w:rsidRDefault="00B74EB4">
      <w:pPr>
        <w:spacing w:before="80" w:after="80"/>
      </w:pPr>
      <w:r>
        <w:rPr>
          <w:b/>
          <w:bCs/>
        </w:rPr>
        <w:t xml:space="preserve">4.2 Minimum Draw. </w:t>
      </w:r>
      <w:r>
        <w:rPr>
          <w:b/>
          <w:bCs/>
          <w:color w:val="CC0000"/>
        </w:rPr>
        <w:t>[[USD $500,000 minimum per draw — CONFIRM]]</w:t>
      </w:r>
    </w:p>
    <w:p w:rsidR="002F271F" w:rsidRDefault="00B74EB4">
      <w:pPr>
        <w:spacing w:before="80" w:after="80"/>
      </w:pPr>
      <w:r>
        <w:rPr>
          <w:b/>
          <w:bCs/>
        </w:rPr>
        <w:t xml:space="preserve">4.3 Notice Period. </w:t>
      </w:r>
      <w:r>
        <w:rPr>
          <w:b/>
          <w:bCs/>
          <w:color w:val="CC0000"/>
        </w:rPr>
        <w:t>[[1 busines</w:t>
      </w:r>
      <w:r>
        <w:rPr>
          <w:b/>
          <w:bCs/>
          <w:color w:val="CC0000"/>
        </w:rPr>
        <w:t>s day for draws under $2M; 3 business days for draws $2M and above — CONFIRM]]</w:t>
      </w:r>
    </w:p>
    <w:p w:rsidR="002F271F" w:rsidRDefault="00B74EB4">
      <w:pPr>
        <w:spacing w:before="80" w:after="80"/>
      </w:pPr>
      <w:r>
        <w:rPr>
          <w:b/>
          <w:bCs/>
        </w:rPr>
        <w:t xml:space="preserve">4.4 Disbursement. </w:t>
      </w:r>
      <w:r>
        <w:t xml:space="preserve">Funds shall be disbursed via </w:t>
      </w:r>
      <w:proofErr w:type="spellStart"/>
      <w:r>
        <w:t>Fedwire</w:t>
      </w:r>
      <w:proofErr w:type="spellEnd"/>
      <w:r>
        <w:t xml:space="preserve"> (for draws of $1M and above) or ACH </w:t>
      </w:r>
      <w:r w:rsidR="000D5E74">
        <w:t>Payment</w:t>
      </w:r>
      <w:bookmarkStart w:id="0" w:name="_GoBack"/>
      <w:bookmarkEnd w:id="0"/>
      <w:r>
        <w:t xml:space="preserve"> (for draws below $1M) to the pre-verified bank account on file.</w:t>
      </w:r>
    </w:p>
    <w:p w:rsidR="002F271F" w:rsidRDefault="00B74EB4">
      <w:pPr>
        <w:spacing w:before="80" w:after="80"/>
      </w:pPr>
      <w:r>
        <w:rPr>
          <w:b/>
          <w:bCs/>
        </w:rPr>
        <w:t>4.5 Maximum Fre</w:t>
      </w:r>
      <w:r>
        <w:rPr>
          <w:b/>
          <w:bCs/>
        </w:rPr>
        <w:t xml:space="preserve">quency. </w:t>
      </w:r>
      <w:r>
        <w:rPr>
          <w:b/>
          <w:bCs/>
          <w:color w:val="CC0000"/>
        </w:rPr>
        <w:t>[[Maximum 2 draw requests per calendar month — CONFIRM]]</w:t>
      </w:r>
    </w:p>
    <w:p w:rsidR="002F271F" w:rsidRDefault="00B74EB4">
      <w:pPr>
        <w:pStyle w:val="Heading1"/>
      </w:pPr>
      <w:r>
        <w:t>5. FEES AND BROKERAGE</w:t>
      </w:r>
    </w:p>
    <w:p w:rsidR="002F271F" w:rsidRDefault="00B74EB4">
      <w:pPr>
        <w:spacing w:before="80" w:after="80"/>
      </w:pPr>
      <w:r>
        <w:rPr>
          <w:b/>
          <w:bCs/>
        </w:rPr>
        <w:lastRenderedPageBreak/>
        <w:t xml:space="preserve">5.1 No Upfront Fees. </w:t>
      </w:r>
      <w:r>
        <w:t>The Borrower is not required to pay any upfront fees or financial commitment.</w:t>
      </w:r>
    </w:p>
    <w:p w:rsidR="002F271F" w:rsidRDefault="00B74EB4">
      <w:pPr>
        <w:spacing w:before="80" w:after="80"/>
      </w:pPr>
      <w:r>
        <w:rPr>
          <w:b/>
          <w:bCs/>
        </w:rPr>
        <w:t xml:space="preserve">5.2 Broker and Facilitator Fees. </w:t>
      </w:r>
      <w:r>
        <w:t>A broker fee of 2% and a facility fee</w:t>
      </w:r>
      <w:r>
        <w:t xml:space="preserve"> of 1% (total 3%) of the Credit Facility shall be paid by </w:t>
      </w:r>
      <w:proofErr w:type="spellStart"/>
      <w:r>
        <w:t>Altiqa</w:t>
      </w:r>
      <w:proofErr w:type="spellEnd"/>
      <w:r>
        <w:t xml:space="preserve"> at drawdown and routed through the Borrower to designated brokers and facilitators. These fees are a non-recourse contribution by </w:t>
      </w:r>
      <w:proofErr w:type="spellStart"/>
      <w:r>
        <w:t>Altiqa</w:t>
      </w:r>
      <w:proofErr w:type="spellEnd"/>
      <w:r>
        <w:t xml:space="preserve"> and the Borrower is not required to repay them.</w:t>
      </w:r>
    </w:p>
    <w:p w:rsidR="002F271F" w:rsidRDefault="00B74EB4">
      <w:pPr>
        <w:pStyle w:val="Heading1"/>
      </w:pPr>
      <w:r>
        <w:t>6. PRI</w:t>
      </w:r>
      <w:r>
        <w:t>NCIPAL PROTECTION INSURANCE</w:t>
      </w:r>
    </w:p>
    <w:p w:rsidR="002F271F" w:rsidRDefault="00B74EB4">
      <w:pPr>
        <w:spacing w:before="80" w:after="80"/>
      </w:pPr>
      <w:r>
        <w:rPr>
          <w:b/>
          <w:bCs/>
        </w:rPr>
        <w:t xml:space="preserve">6.1 Coverage. </w:t>
      </w:r>
      <w:r>
        <w:t>The Lender shall secure and fully fund credit protection insurance covering macroeconomic disruptions (e.g., pandemics, lockdowns).</w:t>
      </w:r>
    </w:p>
    <w:p w:rsidR="002F271F" w:rsidRDefault="00B74EB4">
      <w:pPr>
        <w:spacing w:before="80" w:after="80"/>
      </w:pPr>
      <w:r>
        <w:rPr>
          <w:b/>
          <w:bCs/>
        </w:rPr>
        <w:t xml:space="preserve">6.2 Policyholder. </w:t>
      </w:r>
      <w:r>
        <w:t>The Lender shall be the primary beneficiary, with the Borrower n</w:t>
      </w:r>
      <w:r>
        <w:t>amed as an additional insured where appropriate.</w:t>
      </w:r>
    </w:p>
    <w:p w:rsidR="002F271F" w:rsidRDefault="00B74EB4">
      <w:pPr>
        <w:pStyle w:val="Heading1"/>
      </w:pPr>
      <w:r>
        <w:t>7. CONDITIONS PRECEDENT TO DRAWDOWN</w:t>
      </w:r>
    </w:p>
    <w:p w:rsidR="002F271F" w:rsidRDefault="00B74EB4">
      <w:pPr>
        <w:spacing w:before="80" w:after="80"/>
      </w:pPr>
      <w:r>
        <w:t>Each draw request is subject to satisfaction of the following conditions:</w:t>
      </w:r>
    </w:p>
    <w:p w:rsidR="002F271F" w:rsidRDefault="00B74EB4">
      <w:pPr>
        <w:pStyle w:val="ListParagraph"/>
        <w:numPr>
          <w:ilvl w:val="0"/>
          <w:numId w:val="2"/>
        </w:numPr>
        <w:spacing w:before="40" w:after="40"/>
      </w:pPr>
      <w:r>
        <w:t>No Event of Default has occurred and is continuing</w:t>
      </w:r>
    </w:p>
    <w:p w:rsidR="002F271F" w:rsidRDefault="00B74EB4">
      <w:pPr>
        <w:pStyle w:val="ListParagraph"/>
        <w:numPr>
          <w:ilvl w:val="0"/>
          <w:numId w:val="2"/>
        </w:numPr>
        <w:spacing w:before="40" w:after="40"/>
      </w:pPr>
      <w:r>
        <w:t>All representations and warranties remain true and correct</w:t>
      </w:r>
    </w:p>
    <w:p w:rsidR="002F271F" w:rsidRDefault="00B74EB4">
      <w:pPr>
        <w:pStyle w:val="ListParagraph"/>
        <w:numPr>
          <w:ilvl w:val="0"/>
          <w:numId w:val="2"/>
        </w:numPr>
        <w:spacing w:before="40" w:after="40"/>
      </w:pPr>
      <w:r>
        <w:t>Confirmation of banking and payment processing capabilities</w:t>
      </w:r>
    </w:p>
    <w:p w:rsidR="002F271F" w:rsidRDefault="00B74EB4">
      <w:pPr>
        <w:pStyle w:val="ListParagraph"/>
        <w:numPr>
          <w:ilvl w:val="0"/>
          <w:numId w:val="2"/>
        </w:numPr>
        <w:spacing w:before="40" w:after="40"/>
      </w:pPr>
      <w:r>
        <w:t>Debit Authorization Mandate completed and on file</w:t>
      </w:r>
    </w:p>
    <w:p w:rsidR="002F271F" w:rsidRDefault="00B74EB4">
      <w:pPr>
        <w:pStyle w:val="ListParagraph"/>
        <w:numPr>
          <w:ilvl w:val="0"/>
          <w:numId w:val="2"/>
        </w:numPr>
        <w:spacing w:before="40" w:after="40"/>
      </w:pPr>
      <w:r>
        <w:t>Principal protection insurance policy is active</w:t>
      </w:r>
    </w:p>
    <w:p w:rsidR="002F271F" w:rsidRDefault="00B74EB4">
      <w:pPr>
        <w:pStyle w:val="ListParagraph"/>
        <w:numPr>
          <w:ilvl w:val="0"/>
          <w:numId w:val="2"/>
        </w:numPr>
        <w:spacing w:before="40" w:after="40"/>
      </w:pPr>
      <w:r>
        <w:t xml:space="preserve">Draw request does not exceed available </w:t>
      </w:r>
      <w:r>
        <w:t>commitment</w:t>
      </w:r>
    </w:p>
    <w:p w:rsidR="002F271F" w:rsidRDefault="00B74EB4">
      <w:pPr>
        <w:pStyle w:val="ListParagraph"/>
        <w:numPr>
          <w:ilvl w:val="0"/>
          <w:numId w:val="2"/>
        </w:numPr>
        <w:spacing w:before="40" w:after="40"/>
      </w:pPr>
      <w:r>
        <w:t>Destination account matches the pre-verified account on file</w:t>
      </w:r>
    </w:p>
    <w:p w:rsidR="002F271F" w:rsidRDefault="00B74EB4">
      <w:pPr>
        <w:pStyle w:val="Heading1"/>
      </w:pPr>
      <w:r>
        <w:t>8. REPRESENTATIONS AND WARRANTIES</w:t>
      </w:r>
    </w:p>
    <w:p w:rsidR="002F271F" w:rsidRDefault="00B74EB4">
      <w:pPr>
        <w:spacing w:before="80" w:after="80"/>
      </w:pPr>
      <w:r>
        <w:t>The Borrower represents and warrants to the Lender as of the date hereof and as of each drawdown date that:</w:t>
      </w:r>
    </w:p>
    <w:p w:rsidR="002F271F" w:rsidRDefault="00B74EB4">
      <w:pPr>
        <w:pStyle w:val="ListParagraph"/>
        <w:numPr>
          <w:ilvl w:val="0"/>
          <w:numId w:val="2"/>
        </w:numPr>
        <w:spacing w:before="40" w:after="40"/>
      </w:pPr>
      <w:r>
        <w:t>It is duly incorporated, validly existing,</w:t>
      </w:r>
      <w:r>
        <w:t xml:space="preserve"> and in good standing under applicable law</w:t>
      </w:r>
    </w:p>
    <w:p w:rsidR="002F271F" w:rsidRDefault="00B74EB4">
      <w:pPr>
        <w:pStyle w:val="ListParagraph"/>
        <w:numPr>
          <w:ilvl w:val="0"/>
          <w:numId w:val="2"/>
        </w:numPr>
        <w:spacing w:before="40" w:after="40"/>
      </w:pPr>
      <w:r>
        <w:t>It has full power and authority to enter into and perform its obligations under this Agreement</w:t>
      </w:r>
    </w:p>
    <w:p w:rsidR="002F271F" w:rsidRDefault="00B74EB4">
      <w:pPr>
        <w:pStyle w:val="ListParagraph"/>
        <w:numPr>
          <w:ilvl w:val="0"/>
          <w:numId w:val="2"/>
        </w:numPr>
        <w:spacing w:before="40" w:after="40"/>
      </w:pPr>
      <w:r>
        <w:t>This Agreement constitutes its legal, valid, and binding obligation</w:t>
      </w:r>
    </w:p>
    <w:p w:rsidR="002F271F" w:rsidRDefault="00B74EB4">
      <w:pPr>
        <w:pStyle w:val="ListParagraph"/>
        <w:numPr>
          <w:ilvl w:val="0"/>
          <w:numId w:val="2"/>
        </w:numPr>
        <w:spacing w:before="40" w:after="40"/>
      </w:pPr>
      <w:r>
        <w:t>No litigation, arbitration, or regulatory proceedi</w:t>
      </w:r>
      <w:r>
        <w:t>ng is pending or threatened that could have a material adverse effect</w:t>
      </w:r>
    </w:p>
    <w:p w:rsidR="002F271F" w:rsidRDefault="00B74EB4">
      <w:pPr>
        <w:pStyle w:val="ListParagraph"/>
        <w:numPr>
          <w:ilvl w:val="0"/>
          <w:numId w:val="2"/>
        </w:numPr>
        <w:spacing w:before="40" w:after="40"/>
      </w:pPr>
      <w:r>
        <w:t>All financial statements provided are true, accurate, and complete in all material respects</w:t>
      </w:r>
    </w:p>
    <w:p w:rsidR="002F271F" w:rsidRDefault="00B74EB4">
      <w:pPr>
        <w:pStyle w:val="ListParagraph"/>
        <w:numPr>
          <w:ilvl w:val="0"/>
          <w:numId w:val="2"/>
        </w:numPr>
        <w:spacing w:before="40" w:after="40"/>
      </w:pPr>
      <w:r>
        <w:t>It is not insolvent and will not become insolvent as a result of entering into this Agreement</w:t>
      </w:r>
    </w:p>
    <w:p w:rsidR="002F271F" w:rsidRDefault="00B74EB4">
      <w:pPr>
        <w:pStyle w:val="Heading1"/>
      </w:pPr>
      <w:r>
        <w:t>9. COVENANTS</w:t>
      </w:r>
    </w:p>
    <w:p w:rsidR="002F271F" w:rsidRDefault="00B74EB4">
      <w:pPr>
        <w:pStyle w:val="Heading2"/>
      </w:pPr>
      <w:r>
        <w:t>9.1 Affirmative Covenants</w:t>
      </w:r>
    </w:p>
    <w:p w:rsidR="002F271F" w:rsidRDefault="00B74EB4">
      <w:pPr>
        <w:spacing w:before="80" w:after="80"/>
      </w:pPr>
      <w:r>
        <w:t>The Borrower shall:</w:t>
      </w:r>
    </w:p>
    <w:p w:rsidR="002F271F" w:rsidRDefault="00B74EB4">
      <w:pPr>
        <w:pStyle w:val="ListParagraph"/>
        <w:numPr>
          <w:ilvl w:val="0"/>
          <w:numId w:val="2"/>
        </w:numPr>
        <w:spacing w:before="40" w:after="40"/>
      </w:pPr>
      <w:r>
        <w:t>Maintain all necessary licenses and permits to operate its business</w:t>
      </w:r>
    </w:p>
    <w:p w:rsidR="002F271F" w:rsidRDefault="00B74EB4">
      <w:pPr>
        <w:pStyle w:val="ListParagraph"/>
        <w:numPr>
          <w:ilvl w:val="0"/>
          <w:numId w:val="2"/>
        </w:numPr>
        <w:spacing w:before="40" w:after="40"/>
      </w:pPr>
      <w:r>
        <w:t xml:space="preserve">Provide quarterly financial and operational reports to </w:t>
      </w:r>
      <w:proofErr w:type="spellStart"/>
      <w:r>
        <w:t>Altiqa</w:t>
      </w:r>
      <w:proofErr w:type="spellEnd"/>
      <w:r>
        <w:t xml:space="preserve"> within 45 days of each quarter end</w:t>
      </w:r>
    </w:p>
    <w:p w:rsidR="002F271F" w:rsidRDefault="00B74EB4">
      <w:pPr>
        <w:pStyle w:val="ListParagraph"/>
        <w:numPr>
          <w:ilvl w:val="0"/>
          <w:numId w:val="2"/>
        </w:numPr>
        <w:spacing w:before="40" w:after="40"/>
      </w:pPr>
      <w:r>
        <w:lastRenderedPageBreak/>
        <w:t>Provide annual audited or review</w:t>
      </w:r>
      <w:r>
        <w:t>ed financial statements within 120 days of fiscal year end</w:t>
      </w:r>
    </w:p>
    <w:p w:rsidR="002F271F" w:rsidRDefault="00B74EB4">
      <w:pPr>
        <w:pStyle w:val="ListParagraph"/>
        <w:numPr>
          <w:ilvl w:val="0"/>
          <w:numId w:val="2"/>
        </w:numPr>
        <w:spacing w:before="40" w:after="40"/>
      </w:pPr>
      <w:r>
        <w:t xml:space="preserve">Promptly notify </w:t>
      </w:r>
      <w:proofErr w:type="spellStart"/>
      <w:r>
        <w:t>Altiqa</w:t>
      </w:r>
      <w:proofErr w:type="spellEnd"/>
      <w:r>
        <w:t xml:space="preserve"> of any material adverse change, litigation, or regulatory action</w:t>
      </w:r>
    </w:p>
    <w:p w:rsidR="002F271F" w:rsidRDefault="00B74EB4">
      <w:pPr>
        <w:pStyle w:val="ListParagraph"/>
        <w:numPr>
          <w:ilvl w:val="0"/>
          <w:numId w:val="2"/>
        </w:numPr>
        <w:spacing w:before="40" w:after="40"/>
      </w:pPr>
      <w:r>
        <w:t>Maintain adequate insurance coverage on its assets and operations</w:t>
      </w:r>
    </w:p>
    <w:p w:rsidR="002F271F" w:rsidRDefault="00B74EB4">
      <w:pPr>
        <w:pStyle w:val="ListParagraph"/>
        <w:numPr>
          <w:ilvl w:val="0"/>
          <w:numId w:val="2"/>
        </w:numPr>
        <w:spacing w:before="40" w:after="40"/>
      </w:pPr>
      <w:r>
        <w:t>Disclose key milestones, regulatory progres</w:t>
      </w:r>
      <w:r>
        <w:t>s, and licensing activity</w:t>
      </w:r>
    </w:p>
    <w:p w:rsidR="002F271F" w:rsidRDefault="00B74EB4">
      <w:pPr>
        <w:pStyle w:val="Heading2"/>
      </w:pPr>
      <w:r>
        <w:t>9.2 Negative Covenants</w:t>
      </w:r>
    </w:p>
    <w:p w:rsidR="002F271F" w:rsidRDefault="00B74EB4">
      <w:pPr>
        <w:spacing w:before="80" w:after="80"/>
      </w:pPr>
      <w:r>
        <w:t xml:space="preserve">The Borrower shall not, without prior written consent of </w:t>
      </w:r>
      <w:proofErr w:type="spellStart"/>
      <w:r>
        <w:t>Altiqa</w:t>
      </w:r>
      <w:proofErr w:type="spellEnd"/>
      <w:r>
        <w:t>:</w:t>
      </w:r>
    </w:p>
    <w:p w:rsidR="002F271F" w:rsidRDefault="00B74EB4">
      <w:pPr>
        <w:pStyle w:val="ListParagraph"/>
        <w:numPr>
          <w:ilvl w:val="0"/>
          <w:numId w:val="2"/>
        </w:numPr>
        <w:spacing w:before="40" w:after="40"/>
      </w:pPr>
      <w:r>
        <w:t>Transfer, license, or encumber any material intellectual property</w:t>
      </w:r>
    </w:p>
    <w:p w:rsidR="002F271F" w:rsidRDefault="00B74EB4">
      <w:pPr>
        <w:pStyle w:val="ListParagraph"/>
        <w:numPr>
          <w:ilvl w:val="0"/>
          <w:numId w:val="2"/>
        </w:numPr>
        <w:spacing w:before="40" w:after="40"/>
      </w:pPr>
      <w:r>
        <w:t>Incur senior secured debt above [THRESHOLD — TO BE AGREED]</w:t>
      </w:r>
    </w:p>
    <w:p w:rsidR="002F271F" w:rsidRDefault="00B74EB4">
      <w:pPr>
        <w:pStyle w:val="ListParagraph"/>
        <w:numPr>
          <w:ilvl w:val="0"/>
          <w:numId w:val="2"/>
        </w:numPr>
        <w:spacing w:before="40" w:after="40"/>
      </w:pPr>
      <w:r>
        <w:t>Effect any material change in ownership, control, or management</w:t>
      </w:r>
    </w:p>
    <w:p w:rsidR="002F271F" w:rsidRDefault="00B74EB4">
      <w:pPr>
        <w:pStyle w:val="ListParagraph"/>
        <w:numPr>
          <w:ilvl w:val="0"/>
          <w:numId w:val="2"/>
        </w:numPr>
        <w:spacing w:before="40" w:after="40"/>
      </w:pPr>
      <w:r>
        <w:t>Make any material deviation in the approved use of facility funds</w:t>
      </w:r>
    </w:p>
    <w:p w:rsidR="002F271F" w:rsidRDefault="00B74EB4">
      <w:pPr>
        <w:pStyle w:val="ListParagraph"/>
        <w:numPr>
          <w:ilvl w:val="0"/>
          <w:numId w:val="2"/>
        </w:numPr>
        <w:spacing w:before="40" w:after="40"/>
      </w:pPr>
      <w:r>
        <w:t>Merge, consolidate, or acquire any entity without prior notice</w:t>
      </w:r>
    </w:p>
    <w:p w:rsidR="002F271F" w:rsidRDefault="00B74EB4">
      <w:pPr>
        <w:pStyle w:val="Heading1"/>
      </w:pPr>
      <w:r>
        <w:t>10. DEFAULT AND REMEDIES</w:t>
      </w:r>
    </w:p>
    <w:p w:rsidR="002F271F" w:rsidRDefault="00B74EB4">
      <w:pPr>
        <w:spacing w:before="80" w:after="80"/>
      </w:pPr>
      <w:r>
        <w:rPr>
          <w:b/>
          <w:bCs/>
        </w:rPr>
        <w:t xml:space="preserve">10.1 Events of Default. </w:t>
      </w:r>
      <w:r>
        <w:t>Each of the fo</w:t>
      </w:r>
      <w:r>
        <w:t xml:space="preserve">llowing constitutes an Event of Default: (i) failure to make any payment when due; (ii) material breach of any representation, warranty, or covenant; (iii) bankruptcy, insolvency, or dissolution of the Borrower; (iv) any judgment or order against Borrower </w:t>
      </w:r>
      <w:r>
        <w:t>that is not stayed or satisfied within 60 days; (v) material adverse change in Borrower's financial condition.</w:t>
      </w:r>
    </w:p>
    <w:p w:rsidR="002F271F" w:rsidRDefault="00B74EB4">
      <w:pPr>
        <w:spacing w:before="80" w:after="80"/>
      </w:pPr>
      <w:r>
        <w:rPr>
          <w:b/>
          <w:bCs/>
        </w:rPr>
        <w:t xml:space="preserve">10.2 Remedies. </w:t>
      </w:r>
      <w:r>
        <w:t xml:space="preserve">Upon an Event of Default, </w:t>
      </w:r>
      <w:proofErr w:type="spellStart"/>
      <w:r>
        <w:t>Altiqa</w:t>
      </w:r>
      <w:proofErr w:type="spellEnd"/>
      <w:r>
        <w:t xml:space="preserve"> may: (i) immediately accelerate all amounts outstanding; (ii) elect immediate conversion of outst</w:t>
      </w:r>
      <w:r>
        <w:t>anding principal to equity; (iii) pursue all available legal remedies under applicable law.</w:t>
      </w:r>
    </w:p>
    <w:p w:rsidR="002F271F" w:rsidRDefault="00B74EB4">
      <w:pPr>
        <w:spacing w:before="80" w:after="80"/>
      </w:pPr>
      <w:r>
        <w:rPr>
          <w:b/>
          <w:bCs/>
        </w:rPr>
        <w:t xml:space="preserve">10.3 Cure Period. </w:t>
      </w:r>
      <w:r>
        <w:rPr>
          <w:b/>
          <w:bCs/>
          <w:color w:val="CC0000"/>
        </w:rPr>
        <w:t>[[30-day cure period for non-payment defaults; 15-day cure period for covenant breaches — CONFIRM]]</w:t>
      </w:r>
    </w:p>
    <w:p w:rsidR="002F271F" w:rsidRDefault="00B74EB4">
      <w:pPr>
        <w:pStyle w:val="Heading1"/>
      </w:pPr>
      <w:r>
        <w:t>11. MEETINGS AND LOGISTICS</w:t>
      </w:r>
    </w:p>
    <w:p w:rsidR="002F271F" w:rsidRDefault="00B74EB4">
      <w:pPr>
        <w:spacing w:before="80" w:after="80"/>
      </w:pPr>
      <w:r>
        <w:t xml:space="preserve">A face-to-face inaugural meeting at the Lender's New York office may be scheduled upon closing. </w:t>
      </w:r>
      <w:proofErr w:type="spellStart"/>
      <w:r>
        <w:t>Altiqa</w:t>
      </w:r>
      <w:proofErr w:type="spellEnd"/>
      <w:r>
        <w:t xml:space="preserve"> Family Office will provide private aviation (Cessna Citation X) if required for transportation of key personnel.</w:t>
      </w:r>
    </w:p>
    <w:p w:rsidR="002F271F" w:rsidRDefault="00B74EB4">
      <w:pPr>
        <w:pStyle w:val="Heading1"/>
      </w:pPr>
      <w:r>
        <w:t>12. GOVERNING LAW AND DISPUTE RESOLUTION</w:t>
      </w:r>
    </w:p>
    <w:p w:rsidR="002F271F" w:rsidRDefault="00B74EB4">
      <w:pPr>
        <w:spacing w:before="80" w:after="80"/>
      </w:pPr>
      <w:r>
        <w:rPr>
          <w:b/>
          <w:bCs/>
        </w:rPr>
        <w:t xml:space="preserve">12.1 Governing Law. </w:t>
      </w:r>
      <w:r>
        <w:t>This Agreement shall be governed by and construed in accordance with the laws of the State of New York, United States.</w:t>
      </w:r>
    </w:p>
    <w:p w:rsidR="002F271F" w:rsidRDefault="00B74EB4">
      <w:pPr>
        <w:spacing w:before="80" w:after="80"/>
      </w:pPr>
      <w:r>
        <w:rPr>
          <w:b/>
          <w:bCs/>
        </w:rPr>
        <w:t xml:space="preserve">12.2 Dispute Resolution. </w:t>
      </w:r>
      <w:r>
        <w:t>Any dispute, controversy, or claim arising out of or relating to this Agreement shall be re</w:t>
      </w:r>
      <w:r>
        <w:t>solved by binding arbitration administered by the American Arbitration Association (AAA) in New York, NY.</w:t>
      </w:r>
    </w:p>
    <w:p w:rsidR="002F271F" w:rsidRDefault="00B74EB4">
      <w:pPr>
        <w:pStyle w:val="Heading1"/>
      </w:pPr>
      <w:r>
        <w:t>13. MISCELLANEOUS</w:t>
      </w:r>
    </w:p>
    <w:p w:rsidR="002F271F" w:rsidRDefault="00B74EB4">
      <w:pPr>
        <w:spacing w:before="80" w:after="80"/>
      </w:pPr>
      <w:r>
        <w:rPr>
          <w:b/>
          <w:bCs/>
        </w:rPr>
        <w:t xml:space="preserve">13.1 Amendments. </w:t>
      </w:r>
      <w:r>
        <w:t>Modifications to this Agreement must be in writing and signed by both Parties.</w:t>
      </w:r>
    </w:p>
    <w:p w:rsidR="002F271F" w:rsidRDefault="00B74EB4">
      <w:pPr>
        <w:spacing w:before="80" w:after="80"/>
      </w:pPr>
      <w:r>
        <w:rPr>
          <w:b/>
          <w:bCs/>
        </w:rPr>
        <w:t xml:space="preserve">13.2 Counterparts. </w:t>
      </w:r>
      <w:r>
        <w:t>This Agreement ma</w:t>
      </w:r>
      <w:r>
        <w:t>y be executed in counterparts, each with equal legal force. Electronic signatures shall be deemed valid.</w:t>
      </w:r>
    </w:p>
    <w:p w:rsidR="002F271F" w:rsidRDefault="00B74EB4">
      <w:pPr>
        <w:spacing w:before="80" w:after="80"/>
      </w:pPr>
      <w:r>
        <w:rPr>
          <w:b/>
          <w:bCs/>
        </w:rPr>
        <w:lastRenderedPageBreak/>
        <w:t xml:space="preserve">13.3 Severability. </w:t>
      </w:r>
      <w:r>
        <w:t>If any provision is found unenforceable, remaining provisions continue in full force.</w:t>
      </w:r>
    </w:p>
    <w:p w:rsidR="002F271F" w:rsidRDefault="00B74EB4">
      <w:pPr>
        <w:spacing w:before="80" w:after="80"/>
      </w:pPr>
      <w:r>
        <w:rPr>
          <w:b/>
          <w:bCs/>
        </w:rPr>
        <w:t xml:space="preserve">13.4 Entire Agreement. </w:t>
      </w:r>
      <w:r>
        <w:t>This Agreement, togethe</w:t>
      </w:r>
      <w:r>
        <w:t>r with the executed Term Sheet and all schedules, constitutes the entire agreement between the Parties regarding its subject matter.</w:t>
      </w:r>
    </w:p>
    <w:p w:rsidR="002F271F" w:rsidRDefault="00B74EB4">
      <w:pPr>
        <w:spacing w:before="80" w:after="80"/>
      </w:pPr>
      <w:r>
        <w:rPr>
          <w:b/>
          <w:bCs/>
        </w:rPr>
        <w:t xml:space="preserve">13.5 Notices. </w:t>
      </w:r>
      <w:r>
        <w:t xml:space="preserve">All notices shall be in writing and delivered by email with </w:t>
      </w:r>
      <w:proofErr w:type="gramStart"/>
      <w:r>
        <w:t>confirmation,</w:t>
      </w:r>
      <w:proofErr w:type="gramEnd"/>
      <w:r>
        <w:t xml:space="preserve"> or by overnight courier to the addr</w:t>
      </w:r>
      <w:r>
        <w:t>esses set forth above.</w:t>
      </w:r>
    </w:p>
    <w:p w:rsidR="002F271F" w:rsidRDefault="002F271F">
      <w:pPr>
        <w:pBdr>
          <w:bottom w:val="single" w:sz="8" w:space="1" w:color="1B2E5E"/>
        </w:pBdr>
        <w:spacing w:before="200" w:after="200"/>
      </w:pPr>
    </w:p>
    <w:p w:rsidR="002F271F" w:rsidRDefault="00B74EB4">
      <w:pPr>
        <w:pStyle w:val="Heading1"/>
      </w:pPr>
      <w:r>
        <w:t>IN WITNESS WHEREOF</w:t>
      </w:r>
    </w:p>
    <w:p w:rsidR="002F271F" w:rsidRDefault="00B74EB4">
      <w:pPr>
        <w:spacing w:before="80" w:after="80"/>
      </w:pPr>
      <w:r>
        <w:t>The Parties have executed this Credit Financing Agreement as of the date first above written.</w:t>
      </w:r>
    </w:p>
    <w:p w:rsidR="002F271F" w:rsidRDefault="002F271F">
      <w:pPr>
        <w:spacing w:before="240" w:after="40"/>
      </w:pPr>
    </w:p>
    <w:p w:rsidR="002F271F" w:rsidRDefault="00B74EB4">
      <w:proofErr w:type="gramStart"/>
      <w:r>
        <w:rPr>
          <w:b/>
          <w:bCs/>
        </w:rPr>
        <w:t>ALTIQA MULTI-FAMILY OFFICE PTE.</w:t>
      </w:r>
      <w:proofErr w:type="gramEnd"/>
      <w:r>
        <w:rPr>
          <w:b/>
          <w:bCs/>
        </w:rPr>
        <w:t xml:space="preserve"> LTD. (LENDER)</w:t>
      </w:r>
    </w:p>
    <w:p w:rsidR="002F271F" w:rsidRDefault="002F271F">
      <w:pPr>
        <w:spacing w:before="40" w:after="40"/>
      </w:pPr>
    </w:p>
    <w:p w:rsidR="002F271F" w:rsidRDefault="00B74EB4">
      <w:r>
        <w:rPr>
          <w:b/>
          <w:bCs/>
        </w:rPr>
        <w:t xml:space="preserve">Signature: </w:t>
      </w:r>
      <w:r>
        <w:t>_________________________________</w:t>
      </w:r>
    </w:p>
    <w:p w:rsidR="002F271F" w:rsidRDefault="00B74EB4">
      <w:pPr>
        <w:spacing w:before="80" w:after="40"/>
      </w:pPr>
      <w:r>
        <w:rPr>
          <w:b/>
          <w:bCs/>
        </w:rPr>
        <w:t xml:space="preserve">Name: </w:t>
      </w:r>
      <w:r>
        <w:t>Roy Pang</w:t>
      </w:r>
    </w:p>
    <w:p w:rsidR="002F271F" w:rsidRDefault="00B74EB4">
      <w:pPr>
        <w:spacing w:before="40" w:after="40"/>
      </w:pPr>
      <w:r>
        <w:rPr>
          <w:b/>
          <w:bCs/>
        </w:rPr>
        <w:t xml:space="preserve">Title: </w:t>
      </w:r>
      <w:r>
        <w:t>Wealth Management Director</w:t>
      </w:r>
    </w:p>
    <w:p w:rsidR="002F271F" w:rsidRDefault="00B74EB4">
      <w:pPr>
        <w:spacing w:before="40" w:after="40"/>
      </w:pPr>
      <w:r>
        <w:rPr>
          <w:b/>
          <w:bCs/>
        </w:rPr>
        <w:t xml:space="preserve">Date: </w:t>
      </w:r>
      <w:r>
        <w:t>_________________________________</w:t>
      </w:r>
    </w:p>
    <w:p w:rsidR="002F271F" w:rsidRDefault="002F271F">
      <w:pPr>
        <w:spacing w:before="120" w:after="120"/>
      </w:pPr>
    </w:p>
    <w:p w:rsidR="002F271F" w:rsidRDefault="002F271F">
      <w:pPr>
        <w:spacing w:before="240" w:after="40"/>
      </w:pPr>
    </w:p>
    <w:p w:rsidR="002F271F" w:rsidRDefault="00B74EB4">
      <w:r>
        <w:rPr>
          <w:b/>
          <w:bCs/>
        </w:rPr>
        <w:t>[BORROWER FULL LEGAL NAME] (BORROWER)</w:t>
      </w:r>
    </w:p>
    <w:p w:rsidR="002F271F" w:rsidRDefault="002F271F">
      <w:pPr>
        <w:spacing w:before="40" w:after="40"/>
      </w:pPr>
    </w:p>
    <w:p w:rsidR="002F271F" w:rsidRDefault="00B74EB4">
      <w:r>
        <w:rPr>
          <w:b/>
          <w:bCs/>
        </w:rPr>
        <w:t xml:space="preserve">Signature: </w:t>
      </w:r>
      <w:r>
        <w:t>_________________________________</w:t>
      </w:r>
    </w:p>
    <w:p w:rsidR="002F271F" w:rsidRDefault="00B74EB4">
      <w:pPr>
        <w:spacing w:before="80" w:after="40"/>
      </w:pPr>
      <w:r>
        <w:rPr>
          <w:b/>
          <w:bCs/>
        </w:rPr>
        <w:t xml:space="preserve">Name: </w:t>
      </w:r>
      <w:r>
        <w:t>[AUTHORIZED SIGNATORY]</w:t>
      </w:r>
    </w:p>
    <w:p w:rsidR="002F271F" w:rsidRDefault="00B74EB4">
      <w:pPr>
        <w:spacing w:before="40" w:after="40"/>
      </w:pPr>
      <w:r>
        <w:rPr>
          <w:b/>
          <w:bCs/>
        </w:rPr>
        <w:t xml:space="preserve">Title: </w:t>
      </w:r>
      <w:r>
        <w:t>[TITLE]</w:t>
      </w:r>
    </w:p>
    <w:p w:rsidR="002F271F" w:rsidRDefault="00B74EB4">
      <w:pPr>
        <w:spacing w:before="40" w:after="40"/>
      </w:pPr>
      <w:r>
        <w:rPr>
          <w:b/>
          <w:bCs/>
        </w:rPr>
        <w:t xml:space="preserve">Date: </w:t>
      </w:r>
      <w:r>
        <w:t>_________________________________</w:t>
      </w:r>
    </w:p>
    <w:sectPr w:rsidR="002F271F">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EB4" w:rsidRDefault="00B74EB4">
      <w:r>
        <w:separator/>
      </w:r>
    </w:p>
  </w:endnote>
  <w:endnote w:type="continuationSeparator" w:id="0">
    <w:p w:rsidR="00B74EB4" w:rsidRDefault="00B74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71F" w:rsidRDefault="00B74EB4">
    <w:pPr>
      <w:pBdr>
        <w:top w:val="single" w:sz="4" w:space="1" w:color="D0D6E0"/>
      </w:pBdr>
      <w:tabs>
        <w:tab w:val="center" w:pos="4680"/>
        <w:tab w:val="right" w:pos="9360"/>
      </w:tabs>
      <w:spacing w:before="120"/>
    </w:pPr>
    <w:proofErr w:type="spellStart"/>
    <w:r>
      <w:rPr>
        <w:color w:val="888888"/>
        <w:sz w:val="16"/>
        <w:szCs w:val="16"/>
      </w:rPr>
      <w:t>Altiqa</w:t>
    </w:r>
    <w:proofErr w:type="spellEnd"/>
    <w:r>
      <w:rPr>
        <w:color w:val="888888"/>
        <w:sz w:val="16"/>
        <w:szCs w:val="16"/>
      </w:rPr>
      <w:t xml:space="preserve"> Multi-Family Office Pte. Ltd.</w:t>
    </w:r>
    <w:r>
      <w:rPr>
        <w:color w:val="888888"/>
        <w:sz w:val="16"/>
        <w:szCs w:val="16"/>
      </w:rPr>
      <w:tab/>
      <w:t>Credit Financing Agreement</w:t>
    </w:r>
    <w:r>
      <w:rPr>
        <w:color w:val="888888"/>
        <w:sz w:val="16"/>
        <w:szCs w:val="16"/>
      </w:rPr>
      <w:tab/>
    </w:r>
    <w:r>
      <w:rPr>
        <w:color w:val="888888"/>
        <w:sz w:val="16"/>
        <w:szCs w:val="16"/>
      </w:rP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EB4" w:rsidRDefault="00B74EB4">
      <w:r>
        <w:separator/>
      </w:r>
    </w:p>
  </w:footnote>
  <w:footnote w:type="continuationSeparator" w:id="0">
    <w:p w:rsidR="00B74EB4" w:rsidRDefault="00B74E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71F" w:rsidRDefault="00B74EB4">
    <w:pPr>
      <w:pBdr>
        <w:bottom w:val="single" w:sz="4" w:space="1" w:color="1B2E5E"/>
      </w:pBdr>
      <w:spacing w:after="160"/>
      <w:jc w:val="right"/>
    </w:pPr>
    <w:r>
      <w:rPr>
        <w:b/>
        <w:bCs/>
        <w:color w:val="1F7A8C"/>
        <w:sz w:val="16"/>
        <w:szCs w:val="16"/>
      </w:rPr>
      <w:t>ALTIQA MULTI-FAMILY OFFICE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64EE1"/>
    <w:multiLevelType w:val="hybridMultilevel"/>
    <w:tmpl w:val="84CCFC94"/>
    <w:lvl w:ilvl="0" w:tplc="65F86604">
      <w:start w:val="1"/>
      <w:numFmt w:val="decimal"/>
      <w:lvlText w:val="%1."/>
      <w:lvlJc w:val="left"/>
      <w:pPr>
        <w:ind w:left="720" w:hanging="360"/>
      </w:pPr>
    </w:lvl>
    <w:lvl w:ilvl="1" w:tplc="0A583F9E">
      <w:start w:val="1"/>
      <w:numFmt w:val="lowerLetter"/>
      <w:lvlText w:val="%2."/>
      <w:lvlJc w:val="left"/>
      <w:pPr>
        <w:ind w:left="1080" w:hanging="360"/>
      </w:pPr>
    </w:lvl>
    <w:lvl w:ilvl="2" w:tplc="1B6EC43A">
      <w:numFmt w:val="decimal"/>
      <w:lvlText w:val=""/>
      <w:lvlJc w:val="left"/>
    </w:lvl>
    <w:lvl w:ilvl="3" w:tplc="8902BBAE">
      <w:numFmt w:val="decimal"/>
      <w:lvlText w:val=""/>
      <w:lvlJc w:val="left"/>
    </w:lvl>
    <w:lvl w:ilvl="4" w:tplc="B4165C88">
      <w:numFmt w:val="decimal"/>
      <w:lvlText w:val=""/>
      <w:lvlJc w:val="left"/>
    </w:lvl>
    <w:lvl w:ilvl="5" w:tplc="5A2CBF50">
      <w:numFmt w:val="decimal"/>
      <w:lvlText w:val=""/>
      <w:lvlJc w:val="left"/>
    </w:lvl>
    <w:lvl w:ilvl="6" w:tplc="10DE6752">
      <w:numFmt w:val="decimal"/>
      <w:lvlText w:val=""/>
      <w:lvlJc w:val="left"/>
    </w:lvl>
    <w:lvl w:ilvl="7" w:tplc="40403200">
      <w:numFmt w:val="decimal"/>
      <w:lvlText w:val=""/>
      <w:lvlJc w:val="left"/>
    </w:lvl>
    <w:lvl w:ilvl="8" w:tplc="A81A64B0">
      <w:numFmt w:val="decimal"/>
      <w:lvlText w:val=""/>
      <w:lvlJc w:val="left"/>
    </w:lvl>
  </w:abstractNum>
  <w:abstractNum w:abstractNumId="1">
    <w:nsid w:val="3F171283"/>
    <w:multiLevelType w:val="hybridMultilevel"/>
    <w:tmpl w:val="BEB8522C"/>
    <w:lvl w:ilvl="0" w:tplc="C33A426E">
      <w:start w:val="1"/>
      <w:numFmt w:val="bullet"/>
      <w:lvlText w:val="•"/>
      <w:lvlJc w:val="left"/>
      <w:pPr>
        <w:ind w:left="720" w:hanging="360"/>
      </w:pPr>
    </w:lvl>
    <w:lvl w:ilvl="1" w:tplc="CDEE9ADC">
      <w:start w:val="1"/>
      <w:numFmt w:val="bullet"/>
      <w:lvlText w:val="◦"/>
      <w:lvlJc w:val="left"/>
      <w:pPr>
        <w:ind w:left="1080" w:hanging="360"/>
      </w:pPr>
    </w:lvl>
    <w:lvl w:ilvl="2" w:tplc="8F94BF28">
      <w:numFmt w:val="decimal"/>
      <w:lvlText w:val=""/>
      <w:lvlJc w:val="left"/>
    </w:lvl>
    <w:lvl w:ilvl="3" w:tplc="E69EDCDC">
      <w:numFmt w:val="decimal"/>
      <w:lvlText w:val=""/>
      <w:lvlJc w:val="left"/>
    </w:lvl>
    <w:lvl w:ilvl="4" w:tplc="8446052C">
      <w:numFmt w:val="decimal"/>
      <w:lvlText w:val=""/>
      <w:lvlJc w:val="left"/>
    </w:lvl>
    <w:lvl w:ilvl="5" w:tplc="C32AA6B6">
      <w:numFmt w:val="decimal"/>
      <w:lvlText w:val=""/>
      <w:lvlJc w:val="left"/>
    </w:lvl>
    <w:lvl w:ilvl="6" w:tplc="09CEA7D2">
      <w:numFmt w:val="decimal"/>
      <w:lvlText w:val=""/>
      <w:lvlJc w:val="left"/>
    </w:lvl>
    <w:lvl w:ilvl="7" w:tplc="A4F261B2">
      <w:numFmt w:val="decimal"/>
      <w:lvlText w:val=""/>
      <w:lvlJc w:val="left"/>
    </w:lvl>
    <w:lvl w:ilvl="8" w:tplc="899A7FE8">
      <w:numFmt w:val="decimal"/>
      <w:lvlText w:val=""/>
      <w:lvlJc w:val="left"/>
    </w:lvl>
  </w:abstractNum>
  <w:abstractNum w:abstractNumId="2">
    <w:nsid w:val="58D22854"/>
    <w:multiLevelType w:val="hybridMultilevel"/>
    <w:tmpl w:val="B9B8440A"/>
    <w:lvl w:ilvl="0" w:tplc="A6988D94">
      <w:start w:val="1"/>
      <w:numFmt w:val="bullet"/>
      <w:lvlText w:val="●"/>
      <w:lvlJc w:val="left"/>
      <w:pPr>
        <w:ind w:left="720" w:hanging="360"/>
      </w:pPr>
    </w:lvl>
    <w:lvl w:ilvl="1" w:tplc="0F769A9C">
      <w:start w:val="1"/>
      <w:numFmt w:val="bullet"/>
      <w:lvlText w:val="○"/>
      <w:lvlJc w:val="left"/>
      <w:pPr>
        <w:ind w:left="1440" w:hanging="360"/>
      </w:pPr>
    </w:lvl>
    <w:lvl w:ilvl="2" w:tplc="C92AE070">
      <w:start w:val="1"/>
      <w:numFmt w:val="bullet"/>
      <w:lvlText w:val="■"/>
      <w:lvlJc w:val="left"/>
      <w:pPr>
        <w:ind w:left="2160" w:hanging="360"/>
      </w:pPr>
    </w:lvl>
    <w:lvl w:ilvl="3" w:tplc="C3227C1A">
      <w:start w:val="1"/>
      <w:numFmt w:val="bullet"/>
      <w:lvlText w:val="●"/>
      <w:lvlJc w:val="left"/>
      <w:pPr>
        <w:ind w:left="2880" w:hanging="360"/>
      </w:pPr>
    </w:lvl>
    <w:lvl w:ilvl="4" w:tplc="7C58A718">
      <w:start w:val="1"/>
      <w:numFmt w:val="bullet"/>
      <w:lvlText w:val="○"/>
      <w:lvlJc w:val="left"/>
      <w:pPr>
        <w:ind w:left="3600" w:hanging="360"/>
      </w:pPr>
    </w:lvl>
    <w:lvl w:ilvl="5" w:tplc="CD9434F8">
      <w:start w:val="1"/>
      <w:numFmt w:val="bullet"/>
      <w:lvlText w:val="■"/>
      <w:lvlJc w:val="left"/>
      <w:pPr>
        <w:ind w:left="4320" w:hanging="360"/>
      </w:pPr>
    </w:lvl>
    <w:lvl w:ilvl="6" w:tplc="73004AA4">
      <w:start w:val="1"/>
      <w:numFmt w:val="bullet"/>
      <w:lvlText w:val="●"/>
      <w:lvlJc w:val="left"/>
      <w:pPr>
        <w:ind w:left="5040" w:hanging="360"/>
      </w:pPr>
    </w:lvl>
    <w:lvl w:ilvl="7" w:tplc="D64CC328">
      <w:start w:val="1"/>
      <w:numFmt w:val="bullet"/>
      <w:lvlText w:val="●"/>
      <w:lvlJc w:val="left"/>
      <w:pPr>
        <w:ind w:left="5760" w:hanging="360"/>
      </w:pPr>
    </w:lvl>
    <w:lvl w:ilvl="8" w:tplc="466C0746">
      <w:start w:val="1"/>
      <w:numFmt w:val="bullet"/>
      <w:lvlText w:val="●"/>
      <w:lvlJc w:val="left"/>
      <w:pPr>
        <w:ind w:left="6480" w:hanging="360"/>
      </w:pPr>
    </w:lvl>
  </w:abstractNum>
  <w:num w:numId="1">
    <w:abstractNumId w:val="2"/>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2F271F"/>
    <w:rsid w:val="000D5E74"/>
    <w:rsid w:val="002F271F"/>
    <w:rsid w:val="00B74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1A1A1A"/>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spacing w:before="320" w:after="120"/>
      <w:outlineLvl w:val="0"/>
    </w:pPr>
    <w:rPr>
      <w:b/>
      <w:bCs/>
      <w:color w:val="1B2E5E"/>
      <w:sz w:val="28"/>
      <w:szCs w:val="28"/>
    </w:rPr>
  </w:style>
  <w:style w:type="paragraph" w:styleId="Heading2">
    <w:name w:val="heading 2"/>
    <w:qFormat/>
    <w:pPr>
      <w:spacing w:before="240" w:after="100"/>
      <w:outlineLvl w:val="1"/>
    </w:pPr>
    <w:rPr>
      <w:b/>
      <w:bCs/>
      <w:color w:val="1F7A8C"/>
      <w:sz w:val="24"/>
      <w:szCs w:val="24"/>
    </w:rPr>
  </w:style>
  <w:style w:type="paragraph" w:styleId="Heading3">
    <w:name w:val="heading 3"/>
    <w:qFormat/>
    <w:pPr>
      <w:spacing w:before="180" w:after="80"/>
      <w:outlineLvl w:val="2"/>
    </w:pPr>
    <w:rPr>
      <w:b/>
      <w:bCs/>
      <w:color w:val="C8963E"/>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1A1A1A"/>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spacing w:before="320" w:after="120"/>
      <w:outlineLvl w:val="0"/>
    </w:pPr>
    <w:rPr>
      <w:b/>
      <w:bCs/>
      <w:color w:val="1B2E5E"/>
      <w:sz w:val="28"/>
      <w:szCs w:val="28"/>
    </w:rPr>
  </w:style>
  <w:style w:type="paragraph" w:styleId="Heading2">
    <w:name w:val="heading 2"/>
    <w:qFormat/>
    <w:pPr>
      <w:spacing w:before="240" w:after="100"/>
      <w:outlineLvl w:val="1"/>
    </w:pPr>
    <w:rPr>
      <w:b/>
      <w:bCs/>
      <w:color w:val="1F7A8C"/>
      <w:sz w:val="24"/>
      <w:szCs w:val="24"/>
    </w:rPr>
  </w:style>
  <w:style w:type="paragraph" w:styleId="Heading3">
    <w:name w:val="heading 3"/>
    <w:qFormat/>
    <w:pPr>
      <w:spacing w:before="180" w:after="80"/>
      <w:outlineLvl w:val="2"/>
    </w:pPr>
    <w:rPr>
      <w:b/>
      <w:bCs/>
      <w:color w:val="C8963E"/>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1504</Words>
  <Characters>8573</Characters>
  <Application>Microsoft Office Word</Application>
  <DocSecurity>0</DocSecurity>
  <Lines>71</Lines>
  <Paragraphs>20</Paragraphs>
  <ScaleCrop>false</ScaleCrop>
  <Company/>
  <LinksUpToDate>false</LinksUpToDate>
  <CharactersWithSpaces>10057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ASUS</cp:lastModifiedBy>
  <cp:revision>2</cp:revision>
  <dcterms:created xsi:type="dcterms:W3CDTF">2026-03-29T12:49:00Z</dcterms:created>
  <dcterms:modified xsi:type="dcterms:W3CDTF">2026-07-29T18:01:00Z</dcterms:modified>
</cp:coreProperties>
</file>