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80" w:after="160"/>
        <w:jc w:val="center"/>
      </w:pPr>
      <w:r>
        <w:rPr>
          <w:rFonts w:ascii="Arial" w:cs="Arial" w:eastAsia="Arial" w:hAnsi="Arial"/>
          <w:b/>
          <w:bCs/>
          <w:color w:val="1B2E5E"/>
          <w:sz w:val="40"/>
          <w:szCs w:val="40"/>
        </w:rPr>
        <w:t xml:space="preserve">TERM SHEET</w:t>
      </w:r>
    </w:p>
    <w:p>
      <w:pPr>
        <w:spacing w:before="0" w:after="120"/>
        <w:jc w:val="center"/>
      </w:pPr>
      <w:r>
        <w:rPr>
          <w:rFonts w:ascii="Arial" w:cs="Arial" w:eastAsia="Arial" w:hAnsi="Arial"/>
          <w:i/>
          <w:iCs/>
          <w:color w:val="1F7A8C"/>
          <w:sz w:val="24"/>
          <w:szCs w:val="24"/>
        </w:rPr>
        <w:t xml:space="preserve">Convertible Line of Credit Facility</w:t>
      </w:r>
    </w:p>
    <w:p>
      <w:pPr>
        <w:spacing w:before="0" w:after="480"/>
        <w:jc w:val="center"/>
      </w:pPr>
      <w:r>
        <w:rPr>
          <w:rFonts w:ascii="Arial" w:cs="Arial" w:eastAsia="Arial" w:hAnsi="Arial"/>
          <w:color w:val="888888"/>
          <w:sz w:val="20"/>
          <w:szCs w:val="20"/>
        </w:rPr>
        <w:t xml:space="preserve">Date: [INSERT DATE] | Expiry: [INSERT EXPIRY DATE — SUGGESTED 14 DAYS]</w:t>
      </w:r>
    </w:p>
    <w:p>
      <w:pPr>
        <w:pBdr>
          <w:bottom w:val="single" w:color="1B2E5E" w:sz="8" w:space="1"/>
        </w:pBdr>
        <w:spacing w:before="200" w:after="200"/>
      </w:pPr>
    </w:p>
    <w:p>
      <w:pPr>
        <w:spacing w:before="80" w:after="80"/>
      </w:pPr>
      <w:r>
        <w:rPr>
          <w:rFonts w:ascii="Arial" w:cs="Arial" w:eastAsia="Arial" w:hAnsi="Arial"/>
          <w:color w:val="1A1A1A"/>
          <w:sz w:val="22"/>
          <w:szCs w:val="22"/>
        </w:rPr>
        <w:t xml:space="preserve">This Term Sheet is issued by Altiqa Multi-Family Office Pte. Ltd. ("Altiqa") to </w:t>
      </w:r>
      <w:r>
        <w:rPr>
          <w:b/>
          <w:bCs/>
          <w:color w:val="CC0000"/>
        </w:rPr>
        <w:t xml:space="preserve">[BORROWER FULL LEGAL NAME]</w:t>
      </w:r>
      <w:r>
        <w:rPr>
          <w:rFonts w:ascii="Arial" w:cs="Arial" w:eastAsia="Arial" w:hAnsi="Arial"/>
          <w:color w:val="1A1A1A"/>
          <w:sz w:val="22"/>
          <w:szCs w:val="22"/>
        </w:rPr>
        <w:t xml:space="preserve"> ("Company") and sets forth the principal terms and conditions upon which Altiqa proposes to provide a Convertible Line of Credit facility. This Term Sheet is non-binding except for the provisions relating to Exclusivity, Confidentiality, and Governing Law, which shall be binding upon execution.</w:t>
      </w:r>
    </w:p>
    <w:p>
      <w:pPr>
        <w:pStyle w:val="Heading1"/>
        <w:spacing w:before="320" w:after="120"/>
      </w:pPr>
      <w:r>
        <w:rPr>
          <w:rFonts w:ascii="Arial" w:cs="Arial" w:eastAsia="Arial" w:hAnsi="Arial"/>
          <w:b/>
          <w:bCs/>
          <w:color w:val="1B2E5E"/>
          <w:sz w:val="28"/>
          <w:szCs w:val="28"/>
        </w:rPr>
        <w:t xml:space="preserve">1. 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Lender</w:t>
            </w:r>
          </w:p>
        </w:tc>
        <w:tc>
          <w:tcPr>
            <w:tcW w:type="dxa" w:w="68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Altiqa Multi-Family Office Pte. Ltd., incorporated under the laws of Monaco. Principal office: 74 Boulevard d'Italie, Building E/F, Monte Carlo, 98000, Monaco. US Branch: One Manhattan West, 401 9th Avenue, New York, NY 10001.</w:t>
            </w:r>
          </w:p>
        </w:tc>
      </w:tr>
      <w:tr>
        <w:tc>
          <w:tcPr>
            <w:tcW w:type="dxa" w:w="25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Borrower</w:t>
            </w:r>
          </w:p>
        </w:tc>
        <w:tc>
          <w:tcPr>
            <w:tcW w:type="dxa" w:w="68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[FULL LEGAL NAME]</w:t>
            </w:r>
            <w:r>
              <w:rPr>
                <w:rFonts w:ascii="Arial" w:cs="Arial" w:eastAsia="Arial" w:hAnsi="Arial"/>
                <w:color w:val="1A1A1A"/>
                <w:sz w:val="22"/>
                <w:szCs w:val="22"/>
              </w:rPr>
              <w:t xml:space="preserve">, incorporated under the laws of </w:t>
            </w:r>
            <w:r>
              <w:rPr>
                <w:b/>
                <w:bCs/>
                <w:color w:val="CC0000"/>
              </w:rPr>
              <w:t xml:space="preserve">[STATE/COUNTRY]</w:t>
            </w:r>
            <w:r>
              <w:rPr>
                <w:rFonts w:ascii="Arial" w:cs="Arial" w:eastAsia="Arial" w:hAnsi="Arial"/>
                <w:color w:val="1A1A1A"/>
                <w:sz w:val="22"/>
                <w:szCs w:val="22"/>
              </w:rPr>
              <w:t xml:space="preserve">. Principal address: </w:t>
            </w:r>
            <w:r>
              <w:rPr>
                <w:b/>
                <w:bCs/>
                <w:color w:val="CC0000"/>
              </w:rPr>
              <w:t xml:space="preserve">[FULL ADDRESS]</w:t>
            </w:r>
          </w:p>
        </w:tc>
      </w:tr>
      <w:tr>
        <w:tc>
          <w:tcPr>
            <w:tcW w:type="dxa" w:w="25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Lender Representative</w:t>
            </w:r>
          </w:p>
        </w:tc>
        <w:tc>
          <w:tcPr>
            <w:tcW w:type="dxa" w:w="68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Roy Pang, Wealth Management Director</w:t>
            </w:r>
          </w:p>
        </w:tc>
      </w:tr>
      <w:tr>
        <w:tc>
          <w:tcPr>
            <w:tcW w:type="dxa" w:w="25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Borrower Representative</w:t>
            </w:r>
          </w:p>
        </w:tc>
        <w:tc>
          <w:tcPr>
            <w:tcW w:type="dxa" w:w="68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[NAME, TITLE]</w:t>
            </w:r>
          </w:p>
        </w:tc>
      </w:tr>
    </w:tbl>
    <w:p>
      <w:pPr>
        <w:pStyle w:val="Heading1"/>
        <w:spacing w:before="320" w:after="120"/>
      </w:pPr>
      <w:r>
        <w:rPr>
          <w:rFonts w:ascii="Arial" w:cs="Arial" w:eastAsia="Arial" w:hAnsi="Arial"/>
          <w:b/>
          <w:bCs/>
          <w:color w:val="1B2E5E"/>
          <w:sz w:val="28"/>
          <w:szCs w:val="28"/>
        </w:rPr>
        <w:t xml:space="preserve">2. FACILITY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Instrument</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Convertible Line of Credit (Unsecured Commercial Credit Facility with Equity Conversion Option)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Facility Amount</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[USD $[AMOUNT] (e.g. USD $20,000,000)]</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Facility Term</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36 months (3 years) from the date of first disbursement</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Interest Accrual</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12 months from first disbursement date — no principal repayment required during this period</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Interest Rate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5% per annum (fixed) on drawn amounts. Accrued interest is not payable periodically. At maturity, the Borrower may elect to repay the outstanding principal and accrued interest, or convert to equity, at the Borrower's option.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Structure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Unsecured — no collateral required from Borrower</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Minimum Draw Amount</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[USD $500,000 per draw request [CONFIRM]]</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Maximum Draws per Month</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[2 draws per calendar month [CONFIRM]]</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Draw Notice Period</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[1 business day for draws under USD $2M; 3 business days for draws of USD $2M and above [CONFIRM]]</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Prepayment</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Permitted without penalty upon 30 days prior written notice to Lender</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Use of Funds</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[To be specified per deal — e.g. expansion, working capital, R&amp;D, market entry]</w:t>
            </w:r>
          </w:p>
        </w:tc>
      </w:tr>
    </w:tbl>
    <w:p>
      <w:pPr>
        <w:pStyle w:val="Heading1"/>
        <w:spacing w:before="320" w:after="120"/>
      </w:pPr>
      <w:r>
        <w:rPr>
          <w:rFonts w:ascii="Arial" w:cs="Arial" w:eastAsia="Arial" w:hAnsi="Arial"/>
          <w:b/>
          <w:bCs/>
          <w:color w:val="1B2E5E"/>
          <w:sz w:val="28"/>
          <w:szCs w:val="28"/>
        </w:rPr>
        <w:t xml:space="preserve">3. FEES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Upfront Fee to Borrower</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None — Borrower is not required to pay any upfront fees</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Facility Fee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1% of credit line (paid by Altiqa to facilitators at drawdown)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Broker Fee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2% of credit line (paid by Altiqa to brokers at drawdown)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Total Fees</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3% of credit line — funded entirely by Altiqa as a non-recourse contribution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Fee Disbursement</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Fees provided to Borrower founder at drawdown to disburse to respective parties. Borrower is not required to repay these fees to Altiqa.</w:t>
            </w:r>
          </w:p>
        </w:tc>
      </w:tr>
    </w:tbl>
    <w:p>
      <w:pPr>
        <w:pStyle w:val="Heading1"/>
        <w:spacing w:before="320" w:after="120"/>
      </w:pPr>
      <w:r>
        <w:rPr>
          <w:rFonts w:ascii="Arial" w:cs="Arial" w:eastAsia="Arial" w:hAnsi="Arial"/>
          <w:b/>
          <w:bCs/>
          <w:color w:val="1B2E5E"/>
          <w:sz w:val="28"/>
          <w:szCs w:val="28"/>
        </w:rPr>
        <w:t xml:space="preserve">4. CONVERSION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Conversion Right</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At maturity, the Borrower may elect to repay the outstanding principal and all accrued interest in full, or convert such amounts into equity in the Borrower, at no discount to the conversion valuation.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Trigger Events</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Maturity Date (primary); qualified financing round; acquisition or change of control; IPO filing; mutual written agreement; Event of Default</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Conversion Valuation</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Determined by an independent third-party valuation firm appointed by the Company at the time of conversion, subject to mutual agreement</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Conversion Discount</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No discount. Conversion occurs at the independent third-party valuation determined pursuant to this Section.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Valuation Cap</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[[PLACEHOLDER: USD $[X]M cap — TO BE AGREED PER DEAL]]</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Equity Type</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Preferred Shares with customary rights including liquidation preference and anti-dilution protection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Anti-Dilution</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Broad-based weighted average anti-dilution protection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Pro-Rata Rights</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[[YES/NO — TO BE AGREED]]</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Information Rights</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Quarterly financial reporting; annual audited financials post-conversion</w:t>
            </w:r>
          </w:p>
        </w:tc>
      </w:tr>
      <w:tr>
        <w:tc>
          <w:tcPr>
            <w:tcW w:type="dxa" w:w="30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Board Seat / Observer</w:t>
            </w:r>
          </w:p>
        </w:tc>
        <w:tc>
          <w:tcPr>
            <w:tcW w:type="dxa" w:w="63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[[YES/NO/OBSERVER SEAT — TO BE AGREED]]</w:t>
            </w:r>
          </w:p>
        </w:tc>
      </w:tr>
    </w:tbl>
    <w:p>
      <w:pPr>
        <w:pStyle w:val="Heading1"/>
        <w:spacing w:before="320" w:after="120"/>
      </w:pPr>
      <w:r>
        <w:rPr>
          <w:rFonts w:ascii="Arial" w:cs="Arial" w:eastAsia="Arial" w:hAnsi="Arial"/>
          <w:b/>
          <w:bCs/>
          <w:color w:val="1B2E5E"/>
          <w:sz w:val="28"/>
          <w:szCs w:val="28"/>
        </w:rPr>
        <w:t xml:space="preserve">5. PRINCIPAL PROTECTION INSURANCE</w:t>
      </w:r>
    </w:p>
    <w:p>
      <w:pPr>
        <w:spacing w:before="80" w:after="80"/>
      </w:pPr>
      <w:r>
        <w:rPr>
          <w:rFonts w:ascii="Arial" w:cs="Arial" w:eastAsia="Arial" w:hAnsi="Arial"/>
          <w:color w:val="1A1A1A"/>
          <w:sz w:val="22"/>
          <w:szCs w:val="22"/>
        </w:rPr>
        <w:t xml:space="preserve">Altiqa shall secure and fully fund credit protection insurance covering macroeconomic disruptions including pandemics, lockdowns, and other unforeseen global disruptions. Altiqa shall be the primary policyholder and beneficiary. The Borrower shall be named as an additional insured where appropriate.</w:t>
      </w:r>
    </w:p>
    <w:p>
      <w:pPr>
        <w:pStyle w:val="Heading1"/>
        <w:spacing w:before="320" w:after="120"/>
      </w:pPr>
      <w:r>
        <w:rPr>
          <w:rFonts w:ascii="Arial" w:cs="Arial" w:eastAsia="Arial" w:hAnsi="Arial"/>
          <w:b/>
          <w:bCs/>
          <w:color w:val="1B2E5E"/>
          <w:sz w:val="28"/>
          <w:szCs w:val="28"/>
        </w:rPr>
        <w:t xml:space="preserve">6. COVENANTS</w:t>
      </w:r>
    </w:p>
    <w:p>
      <w:pPr>
        <w:pStyle w:val="Heading2"/>
        <w:spacing w:before="240" w:after="100"/>
      </w:pPr>
      <w:r>
        <w:rPr>
          <w:rFonts w:ascii="Arial" w:cs="Arial" w:eastAsia="Arial" w:hAnsi="Arial"/>
          <w:b/>
          <w:bCs/>
          <w:color w:val="1F7A8C"/>
          <w:sz w:val="24"/>
          <w:szCs w:val="24"/>
        </w:rPr>
        <w:t xml:space="preserve">6.1 Affirmative Covenants</w:t>
      </w:r>
    </w:p>
    <w:p>
      <w:pPr>
        <w:pStyle w:val="ListParagraph"/>
        <w:numPr>
          <w:ilvl w:val="0"/>
          <w:numId w:val="2"/>
        </w:numPr>
        <w:spacing w:before="40" w:after="40"/>
      </w:pPr>
      <w:r>
        <w:rPr>
          <w:rFonts w:ascii="Arial" w:cs="Arial" w:eastAsia="Arial" w:hAnsi="Arial"/>
          <w:color w:val="1A1A1A"/>
          <w:sz w:val="22"/>
          <w:szCs w:val="22"/>
        </w:rPr>
        <w:t xml:space="preserve">Maintain all licenses and permits necessary to operate the business</w:t>
      </w:r>
    </w:p>
    <w:p>
      <w:pPr>
        <w:pStyle w:val="ListParagraph"/>
        <w:numPr>
          <w:ilvl w:val="0"/>
          <w:numId w:val="2"/>
        </w:numPr>
        <w:spacing w:before="40" w:after="40"/>
      </w:pPr>
      <w:r>
        <w:rPr>
          <w:rFonts w:ascii="Arial" w:cs="Arial" w:eastAsia="Arial" w:hAnsi="Arial"/>
          <w:color w:val="1A1A1A"/>
          <w:sz w:val="22"/>
          <w:szCs w:val="22"/>
        </w:rPr>
        <w:t xml:space="preserve">Maintain adequate insurance coverage</w:t>
      </w:r>
    </w:p>
    <w:p>
      <w:pPr>
        <w:pStyle w:val="ListParagraph"/>
        <w:numPr>
          <w:ilvl w:val="0"/>
          <w:numId w:val="2"/>
        </w:numPr>
        <w:spacing w:before="40" w:after="40"/>
      </w:pPr>
      <w:r>
        <w:rPr>
          <w:rFonts w:ascii="Arial" w:cs="Arial" w:eastAsia="Arial" w:hAnsi="Arial"/>
          <w:color w:val="1A1A1A"/>
          <w:sz w:val="22"/>
          <w:szCs w:val="22"/>
        </w:rPr>
        <w:t xml:space="preserve">Provide quarterly financial and operational reports to Altiqa</w:t>
      </w:r>
    </w:p>
    <w:p>
      <w:pPr>
        <w:pStyle w:val="ListParagraph"/>
        <w:numPr>
          <w:ilvl w:val="0"/>
          <w:numId w:val="2"/>
        </w:numPr>
        <w:spacing w:before="40" w:after="40"/>
      </w:pPr>
      <w:r>
        <w:rPr>
          <w:rFonts w:ascii="Arial" w:cs="Arial" w:eastAsia="Arial" w:hAnsi="Arial"/>
          <w:color w:val="1A1A1A"/>
          <w:sz w:val="22"/>
          <w:szCs w:val="22"/>
        </w:rPr>
        <w:t xml:space="preserve">Disclose key milestones, regulatory progress, and material changes</w:t>
      </w:r>
    </w:p>
    <w:p>
      <w:pPr>
        <w:pStyle w:val="ListParagraph"/>
        <w:numPr>
          <w:ilvl w:val="0"/>
          <w:numId w:val="2"/>
        </w:numPr>
        <w:spacing w:before="40" w:after="40"/>
      </w:pPr>
      <w:r>
        <w:rPr>
          <w:rFonts w:ascii="Arial" w:cs="Arial" w:eastAsia="Arial" w:hAnsi="Arial"/>
          <w:color w:val="1A1A1A"/>
          <w:sz w:val="22"/>
          <w:szCs w:val="22"/>
        </w:rPr>
        <w:t xml:space="preserve">Notify Altiqa promptly of any event of default or material adverse change</w:t>
      </w:r>
    </w:p>
    <w:p>
      <w:pPr>
        <w:pStyle w:val="Heading2"/>
        <w:spacing w:before="240" w:after="100"/>
      </w:pPr>
      <w:r>
        <w:rPr>
          <w:rFonts w:ascii="Arial" w:cs="Arial" w:eastAsia="Arial" w:hAnsi="Arial"/>
          <w:b/>
          <w:bCs/>
          <w:color w:val="1F7A8C"/>
          <w:sz w:val="24"/>
          <w:szCs w:val="24"/>
        </w:rPr>
        <w:t xml:space="preserve">6.2 Negative Covenants</w:t>
      </w:r>
    </w:p>
    <w:p>
      <w:pPr>
        <w:pStyle w:val="ListParagraph"/>
        <w:numPr>
          <w:ilvl w:val="0"/>
          <w:numId w:val="2"/>
        </w:numPr>
        <w:spacing w:before="40" w:after="40"/>
      </w:pPr>
      <w:r>
        <w:rPr>
          <w:rFonts w:ascii="Arial" w:cs="Arial" w:eastAsia="Arial" w:hAnsi="Arial"/>
          <w:color w:val="1A1A1A"/>
          <w:sz w:val="22"/>
          <w:szCs w:val="22"/>
        </w:rPr>
        <w:t xml:space="preserve">No transfer of intellectual property without prior written consent of Altiqa</w:t>
      </w:r>
    </w:p>
    <w:p>
      <w:pPr>
        <w:pStyle w:val="ListParagraph"/>
        <w:numPr>
          <w:ilvl w:val="0"/>
          <w:numId w:val="2"/>
        </w:numPr>
        <w:spacing w:before="40" w:after="40"/>
      </w:pPr>
      <w:r>
        <w:rPr>
          <w:rFonts w:ascii="Arial" w:cs="Arial" w:eastAsia="Arial" w:hAnsi="Arial"/>
          <w:color w:val="1A1A1A"/>
          <w:sz w:val="22"/>
          <w:szCs w:val="22"/>
        </w:rPr>
        <w:t xml:space="preserve">No entry into senior secured debt above [THRESHOLD] without prior written consent of Altiqa</w:t>
      </w:r>
    </w:p>
    <w:p>
      <w:pPr>
        <w:pStyle w:val="ListParagraph"/>
        <w:numPr>
          <w:ilvl w:val="0"/>
          <w:numId w:val="2"/>
        </w:numPr>
        <w:spacing w:before="40" w:after="40"/>
      </w:pPr>
      <w:r>
        <w:rPr>
          <w:rFonts w:ascii="Arial" w:cs="Arial" w:eastAsia="Arial" w:hAnsi="Arial"/>
          <w:color w:val="1A1A1A"/>
          <w:sz w:val="22"/>
          <w:szCs w:val="22"/>
        </w:rPr>
        <w:t xml:space="preserve">No material change in ownership or control without prior written notice to Altiqa</w:t>
      </w:r>
    </w:p>
    <w:p>
      <w:pPr>
        <w:pStyle w:val="ListParagraph"/>
        <w:numPr>
          <w:ilvl w:val="0"/>
          <w:numId w:val="2"/>
        </w:numPr>
        <w:spacing w:before="40" w:after="40"/>
      </w:pPr>
      <w:r>
        <w:rPr>
          <w:rFonts w:ascii="Arial" w:cs="Arial" w:eastAsia="Arial" w:hAnsi="Arial"/>
          <w:color w:val="1A1A1A"/>
          <w:sz w:val="22"/>
          <w:szCs w:val="22"/>
        </w:rPr>
        <w:t xml:space="preserve">No material deviation in use of funds without prior written consent of Altiqa</w:t>
      </w:r>
    </w:p>
    <w:p>
      <w:pPr>
        <w:pStyle w:val="Heading1"/>
        <w:spacing w:before="320" w:after="120"/>
      </w:pPr>
      <w:r>
        <w:rPr>
          <w:rFonts w:ascii="Arial" w:cs="Arial" w:eastAsia="Arial" w:hAnsi="Arial"/>
          <w:b/>
          <w:bCs/>
          <w:color w:val="1B2E5E"/>
          <w:sz w:val="28"/>
          <w:szCs w:val="28"/>
        </w:rPr>
        <w:t xml:space="preserve">7. DEFAULT</w:t>
      </w:r>
    </w:p>
    <w:p>
      <w:pPr>
        <w:spacing w:before="80" w:after="80"/>
      </w:pPr>
      <w:r>
        <w:rPr>
          <w:rFonts w:ascii="Arial" w:cs="Arial" w:eastAsia="Arial" w:hAnsi="Arial"/>
          <w:color w:val="1A1A1A"/>
          <w:sz w:val="22"/>
          <w:szCs w:val="22"/>
        </w:rPr>
        <w:t xml:space="preserve">Events of Default include: (i) missed interest payments; (ii) material breach of this Agreement; (iii) bankruptcy, insolvency, or dissolution of Borrower; (iv) material adverse change in the Borrower's financial condition; (v) failure to provide required reporting. Upon an Event of Default, Altiqa may accelerate repayment or elect immediate conversion.</w:t>
      </w:r>
    </w:p>
    <w:p>
      <w:pPr>
        <w:pStyle w:val="Heading1"/>
        <w:spacing w:before="320" w:after="120"/>
      </w:pPr>
      <w:r>
        <w:rPr>
          <w:rFonts w:ascii="Arial" w:cs="Arial" w:eastAsia="Arial" w:hAnsi="Arial"/>
          <w:b/>
          <w:bCs/>
          <w:color w:val="1B2E5E"/>
          <w:sz w:val="28"/>
          <w:szCs w:val="28"/>
        </w:rPr>
        <w:t xml:space="preserve">8. EXCLUSIVITY</w:t>
      </w:r>
    </w:p>
    <w:p>
      <w:pPr>
        <w:spacing w:before="80" w:after="80"/>
      </w:pPr>
      <w:r>
        <w:rPr>
          <w:rFonts w:ascii="Arial" w:cs="Arial" w:eastAsia="Arial" w:hAnsi="Arial"/>
          <w:b/>
          <w:bCs/>
          <w:color w:val="1A1A1A"/>
          <w:sz w:val="22"/>
          <w:szCs w:val="22"/>
        </w:rPr>
        <w:t xml:space="preserve">BINDING. </w:t>
      </w:r>
      <w:r>
        <w:rPr>
          <w:rFonts w:ascii="Arial" w:cs="Arial" w:eastAsia="Arial" w:hAnsi="Arial"/>
          <w:color w:val="1A1A1A"/>
          <w:sz w:val="22"/>
          <w:szCs w:val="22"/>
        </w:rPr>
        <w:t xml:space="preserve">For a period of </w:t>
      </w:r>
      <w:r>
        <w:rPr>
          <w:b/>
          <w:bCs/>
          <w:color w:val="CC0000"/>
        </w:rPr>
        <w:t xml:space="preserve">[45]</w:t>
      </w:r>
      <w:r>
        <w:rPr>
          <w:rFonts w:ascii="Arial" w:cs="Arial" w:eastAsia="Arial" w:hAnsi="Arial"/>
          <w:color w:val="1A1A1A"/>
          <w:sz w:val="22"/>
          <w:szCs w:val="22"/>
        </w:rPr>
        <w:t xml:space="preserve"> days from the date of execution of this Term Sheet (the "Exclusivity Period"), the Borrower agrees not to solicit, negotiate, or enter into any agreement with any other party for debt or equity financing without the prior written consent of Altiqa. Altiqa may extend the Exclusivity Period by written notice.</w:t>
      </w:r>
    </w:p>
    <w:p>
      <w:pPr>
        <w:pStyle w:val="Heading1"/>
        <w:spacing w:before="320" w:after="120"/>
      </w:pPr>
      <w:r>
        <w:rPr>
          <w:rFonts w:ascii="Arial" w:cs="Arial" w:eastAsia="Arial" w:hAnsi="Arial"/>
          <w:b/>
          <w:bCs/>
          <w:color w:val="1B2E5E"/>
          <w:sz w:val="28"/>
          <w:szCs w:val="28"/>
        </w:rPr>
        <w:t xml:space="preserve">9. GOVERNING LAW</w:t>
      </w:r>
    </w:p>
    <w:p>
      <w:pPr>
        <w:spacing w:before="80" w:after="80"/>
      </w:pPr>
      <w:r>
        <w:rPr>
          <w:rFonts w:ascii="Arial" w:cs="Arial" w:eastAsia="Arial" w:hAnsi="Arial"/>
          <w:b/>
          <w:bCs/>
          <w:color w:val="1A1A1A"/>
          <w:sz w:val="22"/>
          <w:szCs w:val="22"/>
        </w:rPr>
        <w:t xml:space="preserve">BINDING. </w:t>
      </w:r>
      <w:r>
        <w:rPr>
          <w:rFonts w:ascii="Arial" w:cs="Arial" w:eastAsia="Arial" w:hAnsi="Arial"/>
          <w:color w:val="1A1A1A"/>
          <w:sz w:val="22"/>
          <w:szCs w:val="22"/>
        </w:rPr>
        <w:t xml:space="preserve">This Term Sheet and any dispute arising hereunder shall be governed by the laws of the State of New York, United States. Disputes shall be resolved by binding arbitration through the American Arbitration Association (AAA) in New York, NY.</w:t>
      </w:r>
    </w:p>
    <w:p>
      <w:pPr>
        <w:pStyle w:val="Heading1"/>
        <w:spacing w:before="320" w:after="120"/>
      </w:pPr>
      <w:r>
        <w:rPr>
          <w:rFonts w:ascii="Arial" w:cs="Arial" w:eastAsia="Arial" w:hAnsi="Arial"/>
          <w:b/>
          <w:bCs/>
          <w:color w:val="1B2E5E"/>
          <w:sz w:val="28"/>
          <w:szCs w:val="28"/>
        </w:rPr>
        <w:t xml:space="preserve">10. CONFIDENTIALITY</w:t>
      </w:r>
    </w:p>
    <w:p>
      <w:pPr>
        <w:spacing w:before="80" w:after="80"/>
      </w:pPr>
      <w:r>
        <w:rPr>
          <w:rFonts w:ascii="Arial" w:cs="Arial" w:eastAsia="Arial" w:hAnsi="Arial"/>
          <w:b/>
          <w:bCs/>
          <w:color w:val="1A1A1A"/>
          <w:sz w:val="22"/>
          <w:szCs w:val="22"/>
        </w:rPr>
        <w:t xml:space="preserve">BINDING. </w:t>
      </w:r>
      <w:r>
        <w:rPr>
          <w:rFonts w:ascii="Arial" w:cs="Arial" w:eastAsia="Arial" w:hAnsi="Arial"/>
          <w:color w:val="1A1A1A"/>
          <w:sz w:val="22"/>
          <w:szCs w:val="22"/>
        </w:rPr>
        <w:t xml:space="preserve">The terms of this Term Sheet are confidential. Neither Party shall disclose the existence or terms of this Term Sheet to any third party without the prior written consent of the other Party, except to legal and financial advisors bound by equivalent confidentiality obligations.</w:t>
      </w:r>
    </w:p>
    <w:p>
      <w:pPr>
        <w:pStyle w:val="Heading1"/>
        <w:spacing w:before="320" w:after="120"/>
      </w:pPr>
      <w:r>
        <w:rPr>
          <w:rFonts w:ascii="Arial" w:cs="Arial" w:eastAsia="Arial" w:hAnsi="Arial"/>
          <w:b/>
          <w:bCs/>
          <w:color w:val="1B2E5E"/>
          <w:sz w:val="28"/>
          <w:szCs w:val="28"/>
        </w:rPr>
        <w:t xml:space="preserve">11. NO COMMITMENT</w:t>
      </w:r>
    </w:p>
    <w:p>
      <w:pPr>
        <w:spacing w:before="80" w:after="80"/>
      </w:pPr>
      <w:r>
        <w:rPr>
          <w:rFonts w:ascii="Arial" w:cs="Arial" w:eastAsia="Arial" w:hAnsi="Arial"/>
          <w:color w:val="1A1A1A"/>
          <w:sz w:val="22"/>
          <w:szCs w:val="22"/>
        </w:rPr>
        <w:t xml:space="preserve">This Term Sheet is an expression of intent only and does not constitute a binding commitment to lend or invest. A binding commitment shall only arise upon execution of final definitive documentation satisfactory to Altiqa and completion of satisfactory due diligence.</w:t>
      </w:r>
    </w:p>
    <w:p>
      <w:pPr>
        <w:pBdr>
          <w:bottom w:val="single" w:color="1B2E5E" w:sz="8" w:space="1"/>
        </w:pBdr>
        <w:spacing w:before="200" w:after="200"/>
      </w:pPr>
    </w:p>
    <w:p>
      <w:pPr>
        <w:pStyle w:val="Heading1"/>
        <w:spacing w:before="320" w:after="120"/>
      </w:pPr>
      <w:r>
        <w:rPr>
          <w:rFonts w:ascii="Arial" w:cs="Arial" w:eastAsia="Arial" w:hAnsi="Arial"/>
          <w:b/>
          <w:bCs/>
          <w:color w:val="1B2E5E"/>
          <w:sz w:val="28"/>
          <w:szCs w:val="28"/>
        </w:rPr>
        <w:t xml:space="preserve">SIGNATURES</w:t>
      </w:r>
    </w:p>
    <w:p>
      <w:pPr>
        <w:spacing w:before="80" w:after="80"/>
      </w:pPr>
      <w:r>
        <w:rPr>
          <w:rFonts w:ascii="Arial" w:cs="Arial" w:eastAsia="Arial" w:hAnsi="Arial"/>
          <w:color w:val="1A1A1A"/>
          <w:sz w:val="22"/>
          <w:szCs w:val="22"/>
        </w:rPr>
        <w:t xml:space="preserve">By signing below, the Parties acknowledge and agree to the terms of this Term Sheet, including the binding provisions relating to Exclusivity, Confidentiality, and Governing Law.</w:t>
      </w:r>
    </w:p>
    <w:p>
      <w:pPr>
        <w:spacing w:before="2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ALTIQA MULTI-FAMILY OFFICE PTE. LTD.</w:t>
      </w:r>
    </w:p>
    <w:p>
      <w:pPr>
        <w:spacing w:before="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Signature: </w:t>
      </w:r>
      <w:r>
        <w:rPr>
          <w:rFonts w:ascii="Arial" w:cs="Arial" w:eastAsia="Arial" w:hAnsi="Arial"/>
          <w:color w:val="1A1A1A"/>
          <w:sz w:val="22"/>
          <w:szCs w:val="22"/>
        </w:rPr>
        <w:t xml:space="preserve">_________________________________</w:t>
      </w:r>
    </w:p>
    <w:p>
      <w:pPr>
        <w:spacing w:before="80" w:after="40"/>
      </w:pPr>
      <w:r>
        <w:rPr>
          <w:rFonts w:ascii="Arial" w:cs="Arial" w:eastAsia="Arial" w:hAnsi="Arial"/>
          <w:b/>
          <w:bCs/>
          <w:color w:val="1A1A1A"/>
          <w:sz w:val="22"/>
          <w:szCs w:val="22"/>
        </w:rPr>
        <w:t xml:space="preserve">Name: </w:t>
      </w:r>
      <w:r>
        <w:rPr>
          <w:rFonts w:ascii="Arial" w:cs="Arial" w:eastAsia="Arial" w:hAnsi="Arial"/>
          <w:color w:val="1A1A1A"/>
          <w:sz w:val="22"/>
          <w:szCs w:val="22"/>
        </w:rPr>
        <w:t xml:space="preserve">Roy Pang</w:t>
      </w:r>
    </w:p>
    <w:p>
      <w:pPr>
        <w:spacing w:before="40" w:after="40"/>
      </w:pPr>
      <w:r>
        <w:rPr>
          <w:rFonts w:ascii="Arial" w:cs="Arial" w:eastAsia="Arial" w:hAnsi="Arial"/>
          <w:b/>
          <w:bCs/>
          <w:color w:val="1A1A1A"/>
          <w:sz w:val="22"/>
          <w:szCs w:val="22"/>
        </w:rPr>
        <w:t xml:space="preserve">Title: </w:t>
      </w:r>
      <w:r>
        <w:rPr>
          <w:rFonts w:ascii="Arial" w:cs="Arial" w:eastAsia="Arial" w:hAnsi="Arial"/>
          <w:color w:val="1A1A1A"/>
          <w:sz w:val="22"/>
          <w:szCs w:val="22"/>
        </w:rPr>
        <w:t xml:space="preserve">Wealth Management Director</w:t>
      </w:r>
    </w:p>
    <w:p>
      <w:pPr>
        <w:spacing w:before="40" w:after="40"/>
      </w:pPr>
      <w:r>
        <w:rPr>
          <w:rFonts w:ascii="Arial" w:cs="Arial" w:eastAsia="Arial" w:hAnsi="Arial"/>
          <w:b/>
          <w:bCs/>
          <w:color w:val="1A1A1A"/>
          <w:sz w:val="22"/>
          <w:szCs w:val="22"/>
        </w:rPr>
        <w:t xml:space="preserve">Date: </w:t>
      </w:r>
      <w:r>
        <w:rPr>
          <w:rFonts w:ascii="Arial" w:cs="Arial" w:eastAsia="Arial" w:hAnsi="Arial"/>
          <w:color w:val="1A1A1A"/>
          <w:sz w:val="22"/>
          <w:szCs w:val="22"/>
        </w:rPr>
        <w:t xml:space="preserve">_________________________________</w:t>
      </w:r>
    </w:p>
    <w:p>
      <w:pPr>
        <w:spacing w:before="120" w:after="120"/>
      </w:pPr>
      <w:r>
        <w:rPr>
          <w:rFonts w:ascii="Arial" w:cs="Arial" w:eastAsia="Arial" w:hAnsi="Arial"/>
          <w:color w:val="1A1A1A"/>
          <w:sz w:val="22"/>
          <w:szCs w:val="22"/>
        </w:rPr>
        <w:t xml:space="preserve"/>
      </w:r>
    </w:p>
    <w:p>
      <w:pPr>
        <w:spacing w:before="2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[BORROWER COMPANY FULL NAME]</w:t>
      </w:r>
    </w:p>
    <w:p>
      <w:pPr>
        <w:spacing w:before="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Signature: </w:t>
      </w:r>
      <w:r>
        <w:rPr>
          <w:rFonts w:ascii="Arial" w:cs="Arial" w:eastAsia="Arial" w:hAnsi="Arial"/>
          <w:color w:val="1A1A1A"/>
          <w:sz w:val="22"/>
          <w:szCs w:val="22"/>
        </w:rPr>
        <w:t xml:space="preserve">_________________________________</w:t>
      </w:r>
    </w:p>
    <w:p>
      <w:pPr>
        <w:spacing w:before="80" w:after="40"/>
      </w:pPr>
      <w:r>
        <w:rPr>
          <w:rFonts w:ascii="Arial" w:cs="Arial" w:eastAsia="Arial" w:hAnsi="Arial"/>
          <w:b/>
          <w:bCs/>
          <w:color w:val="1A1A1A"/>
          <w:sz w:val="22"/>
          <w:szCs w:val="22"/>
        </w:rPr>
        <w:t xml:space="preserve">Name: </w:t>
      </w:r>
      <w:r>
        <w:rPr>
          <w:rFonts w:ascii="Arial" w:cs="Arial" w:eastAsia="Arial" w:hAnsi="Arial"/>
          <w:color w:val="1A1A1A"/>
          <w:sz w:val="22"/>
          <w:szCs w:val="22"/>
        </w:rPr>
        <w:t xml:space="preserve">[AUTHORIZED SIGNATORY]</w:t>
      </w:r>
    </w:p>
    <w:p>
      <w:pPr>
        <w:spacing w:before="40" w:after="40"/>
      </w:pPr>
      <w:r>
        <w:rPr>
          <w:rFonts w:ascii="Arial" w:cs="Arial" w:eastAsia="Arial" w:hAnsi="Arial"/>
          <w:b/>
          <w:bCs/>
          <w:color w:val="1A1A1A"/>
          <w:sz w:val="22"/>
          <w:szCs w:val="22"/>
        </w:rPr>
        <w:t xml:space="preserve">Title: </w:t>
      </w:r>
      <w:r>
        <w:rPr>
          <w:rFonts w:ascii="Arial" w:cs="Arial" w:eastAsia="Arial" w:hAnsi="Arial"/>
          <w:color w:val="1A1A1A"/>
          <w:sz w:val="22"/>
          <w:szCs w:val="22"/>
        </w:rPr>
        <w:t xml:space="preserve">[TITLE]</w:t>
      </w:r>
    </w:p>
    <w:p>
      <w:pPr>
        <w:spacing w:before="40" w:after="40"/>
      </w:pPr>
      <w:r>
        <w:rPr>
          <w:rFonts w:ascii="Arial" w:cs="Arial" w:eastAsia="Arial" w:hAnsi="Arial"/>
          <w:b/>
          <w:bCs/>
          <w:color w:val="1A1A1A"/>
          <w:sz w:val="22"/>
          <w:szCs w:val="22"/>
        </w:rPr>
        <w:t xml:space="preserve">Date: </w:t>
      </w:r>
      <w:r>
        <w:rPr>
          <w:rFonts w:ascii="Arial" w:cs="Arial" w:eastAsia="Arial" w:hAnsi="Arial"/>
          <w:color w:val="1A1A1A"/>
          <w:sz w:val="22"/>
          <w:szCs w:val="22"/>
        </w:rPr>
        <w:t xml:space="preserve">_________________________________</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6E0" w:sz="4" w:space="1"/>
      </w:pBdr>
      <w:tabs>
        <w:tab w:val="center" w:pos="4680"/>
        <w:tab w:val="right" w:pos="9360"/>
      </w:tabs>
      <w:spacing w:before="120" w:after="0"/>
    </w:pPr>
    <w:r>
      <w:rPr>
        <w:rFonts w:ascii="Arial" w:cs="Arial" w:eastAsia="Arial" w:hAnsi="Arial"/>
        <w:color w:val="888888"/>
        <w:sz w:val="16"/>
        <w:szCs w:val="16"/>
      </w:rPr>
      <w:t xml:space="preserve">Altiqa Multi-Family Office Pte. Ltd.</w:t>
    </w:r>
    <w:r>
      <w:rPr>
        <w:rFonts w:ascii="Arial" w:cs="Arial" w:eastAsia="Arial" w:hAnsi="Arial"/>
        <w:color w:val="888888"/>
        <w:sz w:val="16"/>
        <w:szCs w:val="16"/>
      </w:rPr>
      <w:t xml:space="preserve">	Term Sheet — Convertible Line of Credit	</w:t>
    </w:r>
    <w:r>
      <w:rPr>
        <w:rFonts w:ascii="Arial" w:cs="Arial" w:eastAsia="Arial" w:hAnsi="Arial"/>
        <w:color w:val="888888"/>
        <w:sz w:val="16"/>
        <w:szCs w:val="16"/>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2E5E" w:sz="4" w:space="1"/>
      </w:pBdr>
      <w:spacing w:before="0" w:after="160"/>
      <w:jc w:val="right"/>
    </w:pPr>
    <w:r>
      <w:rPr>
        <w:rFonts w:ascii="Arial" w:cs="Arial" w:eastAsia="Arial" w:hAnsi="Arial"/>
        <w:b/>
        <w:bCs/>
        <w:color w:val="1F7A8C"/>
        <w:sz w:val="16"/>
        <w:szCs w:val="16"/>
      </w:rPr>
      <w:t xml:space="preserve">ALTIQA MULTI-FAMILY OFFICE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20"/>
      <w:outlineLvl w:val="0"/>
    </w:pPr>
    <w:rPr>
      <w:rFonts w:ascii="Arial" w:cs="Arial" w:eastAsia="Arial" w:hAnsi="Arial"/>
      <w:b/>
      <w:bCs/>
      <w:color w:val="1B2E5E"/>
      <w:sz w:val="28"/>
      <w:szCs w:val="28"/>
    </w:rPr>
  </w:style>
  <w:style w:type="paragraph" w:styleId="Heading2">
    <w:name w:val="Heading 2"/>
    <w:basedOn w:val="Normal"/>
    <w:next w:val="Normal"/>
    <w:qFormat/>
    <w:pPr>
      <w:spacing w:before="240" w:after="100"/>
      <w:outlineLvl w:val="1"/>
    </w:pPr>
    <w:rPr>
      <w:rFonts w:ascii="Arial" w:cs="Arial" w:eastAsia="Arial" w:hAnsi="Arial"/>
      <w:b/>
      <w:bCs/>
      <w:color w:val="1F7A8C"/>
      <w:sz w:val="24"/>
      <w:szCs w:val="24"/>
    </w:rPr>
  </w:style>
  <w:style w:type="paragraph" w:styleId="Heading3">
    <w:name w:val="Heading 3"/>
    <w:basedOn w:val="Normal"/>
    <w:next w:val="Normal"/>
    <w:qFormat/>
    <w:pPr>
      <w:spacing w:before="180" w:after="80"/>
      <w:outlineLvl w:val="2"/>
    </w:pPr>
    <w:rPr>
      <w:rFonts w:ascii="Arial" w:cs="Arial" w:eastAsia="Arial" w:hAnsi="Arial"/>
      <w:b/>
      <w:bCs/>
      <w:color w:val="C8963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2026-03-29T12:49:31.451Z</dcterms:created>
  <dcterms:modified xsi:type="dcterms:W3CDTF">2026-03-29T12:49:31.451Z</dcterms:modified>
</cp:coreProperties>
</file>

<file path=docProps/custom.xml><?xml version="1.0" encoding="utf-8"?>
<Properties xmlns="http://schemas.openxmlformats.org/officeDocument/2006/custom-properties" xmlns:vt="http://schemas.openxmlformats.org/officeDocument/2006/docPropsVTypes"/>
</file>