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480" w:after="160"/>
        <w:jc w:val="center"/>
      </w:pPr>
      <w:r>
        <w:rPr>
          <w:rFonts w:ascii="Arial" w:cs="Arial" w:eastAsia="Arial" w:hAnsi="Arial"/>
          <w:b/>
          <w:bCs/>
          <w:color w:val="1B2E5E"/>
          <w:sz w:val="40"/>
          <w:szCs w:val="40"/>
        </w:rPr>
        <w:t xml:space="preserve">DUE DILIGENCE CHECKLIST</w:t>
      </w:r>
    </w:p>
    <w:p>
      <w:pPr>
        <w:spacing w:before="0" w:after="120"/>
        <w:jc w:val="center"/>
      </w:pPr>
      <w:r>
        <w:rPr>
          <w:rFonts w:ascii="Arial" w:cs="Arial" w:eastAsia="Arial" w:hAnsi="Arial"/>
          <w:i/>
          <w:iCs/>
          <w:color w:val="1F7A8C"/>
          <w:sz w:val="24"/>
          <w:szCs w:val="24"/>
        </w:rPr>
        <w:t xml:space="preserve">Convertible Line of Credit — Borrower Submission Requirements</w:t>
      </w:r>
    </w:p>
    <w:p>
      <w:pPr>
        <w:spacing w:before="0" w:after="480"/>
        <w:jc w:val="center"/>
      </w:pPr>
      <w:r>
        <w:rPr>
          <w:rFonts w:ascii="Arial" w:cs="Arial" w:eastAsia="Arial" w:hAnsi="Arial"/>
          <w:color w:val="888888"/>
          <w:sz w:val="20"/>
          <w:szCs w:val="20"/>
        </w:rPr>
        <w:t xml:space="preserve">Altiqa Multi-Family Office Pte. Ltd.</w:t>
      </w:r>
    </w:p>
    <w:p>
      <w:pPr>
        <w:pBdr>
          <w:bottom w:val="single" w:color="1B2E5E" w:sz="8" w:space="1"/>
        </w:pBdr>
        <w:spacing w:before="200" w:after="200"/>
      </w:pPr>
    </w:p>
    <w:p>
      <w:pPr>
        <w:spacing w:before="80" w:after="8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This checklist outlines all documents and information required by Altiqa Multi-Family Office for the evaluation and approval of a Convertible Line of Credit facility. Please submit all items to </w:t>
      </w:r>
      <w:r>
        <w:rPr>
          <w:rFonts w:ascii="Arial" w:cs="Arial" w:eastAsia="Arial" w:hAnsi="Arial"/>
          <w:color w:val="1F7A8C"/>
          <w:sz w:val="22"/>
          <w:szCs w:val="22"/>
        </w:rPr>
        <w:t xml:space="preserve">investments@altiqafamilyoffice.com</w:t>
      </w:r>
      <w:r>
        <w:rPr>
          <w:rFonts w:ascii="Arial" w:cs="Arial" w:eastAsia="Arial" w:hAnsi="Arial"/>
          <w:color w:val="1A1A1A"/>
          <w:sz w:val="22"/>
          <w:szCs w:val="22"/>
        </w:rPr>
        <w:t xml:space="preserve"> or via the designated secure portal. Documents should be in PDF format unless otherwise specified.</w:t>
      </w:r>
    </w:p>
    <w:p>
      <w:pPr>
        <w:spacing w:before="80" w:after="8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Borrower Company</w:t>
            </w:r>
          </w:p>
        </w:tc>
        <w:tc>
          <w:tcPr>
            <w:tcW w:type="dxa" w:w="63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[INSERT COMPANY NAME]</w:t>
            </w:r>
          </w:p>
        </w:tc>
      </w:tr>
      <w:tr>
        <w:tc>
          <w:tcPr>
            <w:tcW w:type="dxa" w:w="300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Facility Amount Requested</w:t>
            </w:r>
          </w:p>
        </w:tc>
        <w:tc>
          <w:tcPr>
            <w:tcW w:type="dxa" w:w="63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USD $[AMOUNT]</w:t>
            </w:r>
          </w:p>
        </w:tc>
      </w:tr>
      <w:tr>
        <w:tc>
          <w:tcPr>
            <w:tcW w:type="dxa" w:w="300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Submission Date</w:t>
            </w:r>
          </w:p>
        </w:tc>
        <w:tc>
          <w:tcPr>
            <w:tcW w:type="dxa" w:w="63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[DATE]</w:t>
            </w:r>
          </w:p>
        </w:tc>
      </w:tr>
      <w:tr>
        <w:tc>
          <w:tcPr>
            <w:tcW w:type="dxa" w:w="300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Primary Contact</w:t>
            </w:r>
          </w:p>
        </w:tc>
        <w:tc>
          <w:tcPr>
            <w:tcW w:type="dxa" w:w="63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[NAME, TITLE, EMAIL, PHONE]</w:t>
            </w:r>
          </w:p>
        </w:tc>
      </w:tr>
      <w:tr>
        <w:tc>
          <w:tcPr>
            <w:tcW w:type="dxa" w:w="300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Altiqa Relationship Manager</w:t>
            </w:r>
          </w:p>
        </w:tc>
        <w:tc>
          <w:tcPr>
            <w:tcW w:type="dxa" w:w="63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Roy Pang | roy.pang@altiqafamilyoffice.com</w:t>
            </w:r>
          </w:p>
        </w:tc>
      </w:tr>
    </w:tbl>
    <w:p>
      <w:pPr>
        <w:spacing w:before="160" w:after="8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5760"/>
        <w:gridCol w:w="2880"/>
      </w:tblGrid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1F7A8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✓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1F7A8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DOCUMENT / ITEM REQUIRED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1F7A8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NOTES / FORMAT</w:t>
            </w:r>
          </w:p>
        </w:tc>
      </w:tr>
      <w:tr>
        <w:tc>
          <w:tcPr>
            <w:tcW w:type="dxa" w:w="9360"/>
            <w:gridSpan w:val="3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1B2E5E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A. LEGAL ENTITY &amp; CORPORATE DOCUMENTS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Certificate of Incorporation / Articles of Organization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Certified copy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Operating Agreement or Bylaws (current version)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Certified copy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EIN Confirmation Letter from IRS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Original or certified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All active business licenses and permits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Copies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Current ownership structure / cap table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As of application date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List of all subsidiaries and affiliated entities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With ownership %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Corporate resolution authorizing this financing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Board-approved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Good standing certificate from state of incorporation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Issued within 90 days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Any existing shareholder agreements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Full copies</w:t>
            </w:r>
          </w:p>
        </w:tc>
      </w:tr>
      <w:tr>
        <w:tc>
          <w:tcPr>
            <w:tcW w:type="dxa" w:w="9360"/>
            <w:gridSpan w:val="3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1B2E5E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B. FINANCIAL DOCUMENTS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Audited or reviewed financial statements — 3 years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CPA-prepared preferred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Current year-to-date profit &amp; loss statement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Signed by CFO/CEO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Current balance sheet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As of most recent month-end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12 months of business bank statements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All operating accounts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Accounts receivable aging report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Current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Accounts payable aging report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Current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Existing debt schedule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All current loans and obligations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3-year revenue history with breakdown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By product/service/geography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Financial projections — 3 to 5 years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With assumptions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Most recent tax returns — 3 years (business)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Federal and state</w:t>
            </w:r>
          </w:p>
        </w:tc>
      </w:tr>
      <w:tr>
        <w:tc>
          <w:tcPr>
            <w:tcW w:type="dxa" w:w="9360"/>
            <w:gridSpan w:val="3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1B2E5E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C. BUSINESS PLAN &amp; OPERATIONS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Current business plan or executive summary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Max 20 pages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Pitch deck (most recent version)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PDF format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Use of funds breakdown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How facility proceeds will be deployed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Organizational chart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With key personnel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Management team bios (all C-suite and directors)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With LinkedIn profiles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Key customer contracts or LOIs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Redacted if required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Top 10 customer concentration breakdown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By revenue %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Key vendor / supplier agreements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Material contracts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Intellectual property inventory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Patents, trademarks, licenses</w:t>
            </w:r>
          </w:p>
        </w:tc>
      </w:tr>
      <w:tr>
        <w:tc>
          <w:tcPr>
            <w:tcW w:type="dxa" w:w="9360"/>
            <w:gridSpan w:val="3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1B2E5E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D. LEGAL &amp; COMPLIANCE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Personal tax returns — principals owning 20%+ (3 years)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Federal returns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Personal financial statement of principals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Signed and dated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Disclosure of all pending or threatened litigation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Written statement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UCC search results or lien search report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Issued within 60 days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Any existing security agreements or pledges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Full copies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Regulatory licenses relevant to industry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Current and valid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Disclosure of any prior bankruptcies or insolvencies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Written statement</w:t>
            </w:r>
          </w:p>
        </w:tc>
      </w:tr>
      <w:tr>
        <w:tc>
          <w:tcPr>
            <w:tcW w:type="dxa" w:w="9360"/>
            <w:gridSpan w:val="3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1B2E5E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E. INDUSTRY-SPECIFIC (AS APPLICABLE)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Healthcare: FDA approvals, clinical trial data, regulatory filings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If applicable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Technology: IP assignments, software licenses, data agreements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If applicable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Manufacturing: Production capacity data, facility certifications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If applicable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Shipping/Logistics: Vessel registry, freight contracts, FMC license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If applicable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Real Estate: Property appraisals, title reports, lease agreements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If applicable</w:t>
            </w:r>
          </w:p>
        </w:tc>
      </w:tr>
      <w:tr>
        <w:tc>
          <w:tcPr>
            <w:tcW w:type="dxa" w:w="9360"/>
            <w:gridSpan w:val="3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1B2E5E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F. BANKING &amp; PAYMENT READINESS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Bank account details for drawdown receipt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Voided check or bank letter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Confirmation of banking and payment processing capabilities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Written confirmation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Debit Authorization Mandate (provided by Altiqa)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To be completed</w:t>
            </w:r>
          </w:p>
        </w:tc>
      </w:tr>
      <w:tr>
        <w:tc>
          <w:tcPr>
            <w:tcW w:type="dxa" w:w="72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☐</w:t>
            </w:r>
          </w:p>
        </w:tc>
        <w:tc>
          <w:tcPr>
            <w:tcW w:type="dxa" w:w="57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Wire transfer instructions (incoming)</w:t>
            </w:r>
          </w:p>
        </w:tc>
        <w:tc>
          <w:tcPr>
            <w:tcW w:type="dxa" w:w="288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Bank-verified letterhead</w:t>
            </w:r>
          </w:p>
        </w:tc>
      </w:tr>
    </w:tbl>
    <w:p>
      <w:pPr>
        <w:spacing w:before="160" w:after="8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/>
      </w:r>
    </w:p>
    <w:p>
      <w:pPr>
        <w:pStyle w:val="Heading2"/>
        <w:spacing w:before="240" w:after="100"/>
      </w:pPr>
      <w:r>
        <w:rPr>
          <w:rFonts w:ascii="Arial" w:cs="Arial" w:eastAsia="Arial" w:hAnsi="Arial"/>
          <w:b/>
          <w:bCs/>
          <w:color w:val="1F7A8C"/>
          <w:sz w:val="24"/>
          <w:szCs w:val="24"/>
        </w:rPr>
        <w:t xml:space="preserve">SUBMISSION INSTRUCTIONS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6860"/>
      </w:tblGrid>
      <w:tr>
        <w:tc>
          <w:tcPr>
            <w:tcW w:type="dxa" w:w="250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Primary Submission</w:t>
            </w:r>
          </w:p>
        </w:tc>
        <w:tc>
          <w:tcPr>
            <w:tcW w:type="dxa" w:w="68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investments@altiqafamilyoffice.com</w:t>
            </w:r>
          </w:p>
        </w:tc>
      </w:tr>
      <w:tr>
        <w:tc>
          <w:tcPr>
            <w:tcW w:type="dxa" w:w="250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Secure Portal</w:t>
            </w:r>
          </w:p>
        </w:tc>
        <w:tc>
          <w:tcPr>
            <w:tcW w:type="dxa" w:w="68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[SECURE PORTAL URL — PLACEHOLDER]</w:t>
            </w:r>
          </w:p>
        </w:tc>
      </w:tr>
      <w:tr>
        <w:tc>
          <w:tcPr>
            <w:tcW w:type="dxa" w:w="250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Document Format</w:t>
            </w:r>
          </w:p>
        </w:tc>
        <w:tc>
          <w:tcPr>
            <w:tcW w:type="dxa" w:w="68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PDF preferred; Excel acceptable for financial models</w:t>
            </w:r>
          </w:p>
        </w:tc>
      </w:tr>
      <w:tr>
        <w:tc>
          <w:tcPr>
            <w:tcW w:type="dxa" w:w="250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File Naming</w:t>
            </w:r>
          </w:p>
        </w:tc>
        <w:tc>
          <w:tcPr>
            <w:tcW w:type="dxa" w:w="68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CompanyName_DocumentType_Date (e.g. AcmeCorp_FinancialStatements_2025)</w:t>
            </w:r>
          </w:p>
        </w:tc>
      </w:tr>
      <w:tr>
        <w:tc>
          <w:tcPr>
            <w:tcW w:type="dxa" w:w="250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Review Timeline</w:t>
            </w:r>
          </w:p>
        </w:tc>
        <w:tc>
          <w:tcPr>
            <w:tcW w:type="dxa" w:w="68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Altiqa will complete initial review within 2 business days of complete submission</w:t>
            </w:r>
          </w:p>
        </w:tc>
      </w:tr>
      <w:tr>
        <w:tc>
          <w:tcPr>
            <w:tcW w:type="dxa" w:w="250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Questions</w:t>
            </w:r>
          </w:p>
        </w:tc>
        <w:tc>
          <w:tcPr>
            <w:tcW w:type="dxa" w:w="68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roy.pang@altiqafamilyoffice.com | +1 (212) 461-0019</w:t>
            </w:r>
          </w:p>
        </w:tc>
      </w:tr>
    </w:tbl>
    <w:p>
      <w:pPr>
        <w:spacing w:before="80" w:after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/>
      </w:r>
    </w:p>
    <w:p>
      <w:pPr>
        <w:spacing w:before="80" w:after="80"/>
      </w:pP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All documents submitted are subject to the terms of the executed Mutual Non-Disclosure Agreement. Submission of this checklist does not constitute a commitment to lend or invest.</w:t>
      </w:r>
    </w:p>
    <w:sectPr>
      <w:headerReference w:type="default" r:id="rId6"/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6E0" w:sz="4" w:space="1"/>
      </w:pBdr>
      <w:tabs>
        <w:tab w:val="center" w:pos="4680"/>
        <w:tab w:val="right" w:pos="9360"/>
      </w:tabs>
      <w:spacing w:before="120" w:after="0"/>
    </w:pPr>
    <w:r>
      <w:rPr>
        <w:rFonts w:ascii="Arial" w:cs="Arial" w:eastAsia="Arial" w:hAnsi="Arial"/>
        <w:color w:val="888888"/>
        <w:sz w:val="16"/>
        <w:szCs w:val="16"/>
      </w:rPr>
      <w:t xml:space="preserve">Altiqa Multi-Family Office Pte. Ltd.</w:t>
    </w:r>
    <w:r>
      <w:rPr>
        <w:rFonts w:ascii="Arial" w:cs="Arial" w:eastAsia="Arial" w:hAnsi="Arial"/>
        <w:color w:val="888888"/>
        <w:sz w:val="16"/>
        <w:szCs w:val="16"/>
      </w:rPr>
      <w:t xml:space="preserve">	Due Diligence Checklist	</w:t>
    </w:r>
    <w:r>
      <w:rPr>
        <w:rFonts w:ascii="Arial" w:cs="Arial" w:eastAsia="Arial" w:hAnsi="Arial"/>
        <w:color w:val="888888"/>
        <w:sz w:val="16"/>
        <w:szCs w:val="16"/>
      </w:rPr>
      <w:pgNum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B2E5E" w:sz="4" w:space="1"/>
      </w:pBdr>
      <w:spacing w:before="0" w:after="160"/>
      <w:jc w:val="right"/>
    </w:pPr>
    <w:r>
      <w:rPr>
        <w:rFonts w:ascii="Arial" w:cs="Arial" w:eastAsia="Arial" w:hAnsi="Arial"/>
        <w:b/>
        <w:bCs/>
        <w:color w:val="1F7A8C"/>
        <w:sz w:val="16"/>
        <w:szCs w:val="16"/>
      </w:rPr>
      <w:t xml:space="preserve">ALTIQA MULTI-FAMILY OFFICE | CONFIDENTIAL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◦"/>
      <w:lvlJc w:val="left"/>
      <w:pPr>
        <w:ind w:left="108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lowerLetter"/>
      <w:lvlText w:val="%2."/>
      <w:lvlJc w:val="left"/>
      <w:pPr>
        <w:ind w:left="10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20" w:after="120"/>
      <w:outlineLvl w:val="0"/>
    </w:pPr>
    <w:rPr>
      <w:rFonts w:ascii="Arial" w:cs="Arial" w:eastAsia="Arial" w:hAnsi="Arial"/>
      <w:b/>
      <w:bCs/>
      <w:color w:val="1B2E5E"/>
      <w:sz w:val="28"/>
      <w:szCs w:val="28"/>
    </w:rPr>
  </w:style>
  <w:style w:type="paragraph" w:styleId="Heading2">
    <w:name w:val="Heading 2"/>
    <w:basedOn w:val="Normal"/>
    <w:next w:val="Normal"/>
    <w:qFormat/>
    <w:pPr>
      <w:spacing w:before="240" w:after="100"/>
      <w:outlineLvl w:val="1"/>
    </w:pPr>
    <w:rPr>
      <w:rFonts w:ascii="Arial" w:cs="Arial" w:eastAsia="Arial" w:hAnsi="Arial"/>
      <w:b/>
      <w:bCs/>
      <w:color w:val="1F7A8C"/>
      <w:sz w:val="24"/>
      <w:szCs w:val="24"/>
    </w:rPr>
  </w:style>
  <w:style w:type="paragraph" w:styleId="Heading3">
    <w:name w:val="Heading 3"/>
    <w:basedOn w:val="Normal"/>
    <w:next w:val="Normal"/>
    <w:qFormat/>
    <w:pPr>
      <w:spacing w:before="180" w:after="80"/>
      <w:outlineLvl w:val="2"/>
    </w:pPr>
    <w:rPr>
      <w:rFonts w:ascii="Arial" w:cs="Arial" w:eastAsia="Arial" w:hAnsi="Arial"/>
      <w:b/>
      <w:bCs/>
      <w:color w:val="C8963E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2026-03-29T12:49:31.445Z</dcterms:created>
  <dcterms:modified xsi:type="dcterms:W3CDTF">2026-03-29T12:49:31.445Z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