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80" w:after="160"/>
        <w:jc w:val="center"/>
      </w:pPr>
      <w:r>
        <w:rPr>
          <w:rFonts w:ascii="Arial" w:cs="Arial" w:eastAsia="Arial" w:hAnsi="Arial"/>
          <w:b/>
          <w:bCs/>
          <w:color w:val="1B2E5E"/>
          <w:sz w:val="40"/>
          <w:szCs w:val="40"/>
        </w:rPr>
        <w:t xml:space="preserve">MUTUAL NON-DISCLOSURE AGREEMENT</w:t>
      </w:r>
    </w:p>
    <w:p>
      <w:pPr>
        <w:spacing w:before="0" w:after="120"/>
        <w:jc w:val="center"/>
      </w:pPr>
      <w:r>
        <w:rPr>
          <w:rFonts w:ascii="Arial" w:cs="Arial" w:eastAsia="Arial" w:hAnsi="Arial"/>
          <w:i/>
          <w:iCs/>
          <w:color w:val="1F7A8C"/>
          <w:sz w:val="24"/>
          <w:szCs w:val="24"/>
        </w:rPr>
        <w:t xml:space="preserve">Altiqa Multi-Family Office Pte. Ltd.</w:t>
      </w:r>
    </w:p>
    <w:p>
      <w:pPr>
        <w:spacing w:before="0" w:after="480"/>
        <w:jc w:val="center"/>
      </w:pPr>
      <w:r>
        <w:rPr>
          <w:rFonts w:ascii="Arial" w:cs="Arial" w:eastAsia="Arial" w:hAnsi="Arial"/>
          <w:color w:val="888888"/>
          <w:sz w:val="20"/>
          <w:szCs w:val="20"/>
        </w:rPr>
        <w:t xml:space="preserve">Effective Date: [INSERT DATE]</w:t>
      </w:r>
    </w:p>
    <w:p>
      <w:pPr>
        <w:pBdr>
          <w:bottom w:val="single" w:color="1B2E5E" w:sz="8" w:space="1"/>
        </w:pBdr>
        <w:spacing w:before="200" w:after="200"/>
      </w:pPr>
    </w:p>
    <w:p>
      <w:pPr>
        <w:pStyle w:val="Heading1"/>
        <w:spacing w:before="320" w:after="120"/>
      </w:pPr>
      <w:r>
        <w:rPr>
          <w:rFonts w:ascii="Arial" w:cs="Arial" w:eastAsia="Arial" w:hAnsi="Arial"/>
          <w:b/>
          <w:bCs/>
          <w:color w:val="1B2E5E"/>
          <w:sz w:val="28"/>
          <w:szCs w:val="28"/>
        </w:rPr>
        <w:t xml:space="preserve">PARTIES</w:t>
      </w:r>
    </w:p>
    <w:p>
      <w:pPr>
        <w:spacing w:before="80" w:after="80"/>
      </w:pPr>
      <w:r>
        <w:rPr>
          <w:rFonts w:ascii="Arial" w:cs="Arial" w:eastAsia="Arial" w:hAnsi="Arial"/>
          <w:b/>
          <w:bCs/>
          <w:color w:val="1A1A1A"/>
          <w:sz w:val="22"/>
          <w:szCs w:val="22"/>
        </w:rPr>
        <w:t xml:space="preserve">Disclosing / Receiving Party 1: </w:t>
      </w:r>
      <w:r>
        <w:rPr>
          <w:rFonts w:ascii="Arial" w:cs="Arial" w:eastAsia="Arial" w:hAnsi="Arial"/>
          <w:color w:val="1A1A1A"/>
          <w:sz w:val="22"/>
          <w:szCs w:val="22"/>
        </w:rPr>
        <w:t xml:space="preserve">Altiqa Multi-Family Office Pte. Ltd., a family office incorporated under the laws of Monaco, with its principal office at 74 Boulevard d'Italie, Building E/F, Monte Carlo, 98000, Monaco and a US branch office at One Manhattan West, 401 9th Avenue, New York, NY 10001 ("Altiqa").</w:t>
      </w:r>
    </w:p>
    <w:p>
      <w:pPr>
        <w:spacing w:before="80" w:after="80"/>
      </w:pPr>
      <w:r>
        <w:rPr>
          <w:rFonts w:ascii="Arial" w:cs="Arial" w:eastAsia="Arial" w:hAnsi="Arial"/>
          <w:color w:val="1A1A1A"/>
          <w:sz w:val="22"/>
          <w:szCs w:val="22"/>
        </w:rPr>
        <w:t xml:space="preserve"/>
      </w:r>
    </w:p>
    <w:p>
      <w:pPr>
        <w:spacing w:before="80" w:after="80"/>
      </w:pPr>
      <w:r>
        <w:rPr>
          <w:rFonts w:ascii="Arial" w:cs="Arial" w:eastAsia="Arial" w:hAnsi="Arial"/>
          <w:b/>
          <w:bCs/>
          <w:color w:val="1A1A1A"/>
          <w:sz w:val="22"/>
          <w:szCs w:val="22"/>
        </w:rPr>
        <w:t xml:space="preserve">Disclosing / Receiving Party 2: </w:t>
      </w:r>
      <w:r>
        <w:rPr>
          <w:b/>
          <w:bCs/>
          <w:color w:val="CC0000"/>
        </w:rPr>
        <w:t xml:space="preserve">[FULL LEGAL NAME OF BORROWER ENTITY]</w:t>
      </w:r>
      <w:r>
        <w:rPr>
          <w:rFonts w:ascii="Arial" w:cs="Arial" w:eastAsia="Arial" w:hAnsi="Arial"/>
          <w:color w:val="1A1A1A"/>
          <w:sz w:val="22"/>
          <w:szCs w:val="22"/>
        </w:rPr>
        <w:t xml:space="preserve">, a company incorporated under the laws of </w:t>
      </w:r>
      <w:r>
        <w:rPr>
          <w:b/>
          <w:bCs/>
          <w:color w:val="CC0000"/>
        </w:rPr>
        <w:t xml:space="preserve">[STATE/COUNTRY]</w:t>
      </w:r>
      <w:r>
        <w:rPr>
          <w:rFonts w:ascii="Arial" w:cs="Arial" w:eastAsia="Arial" w:hAnsi="Arial"/>
          <w:color w:val="1A1A1A"/>
          <w:sz w:val="22"/>
          <w:szCs w:val="22"/>
        </w:rPr>
        <w:t xml:space="preserve">, with its principal business address at </w:t>
      </w:r>
      <w:r>
        <w:rPr>
          <w:b/>
          <w:bCs/>
          <w:color w:val="CC0000"/>
        </w:rPr>
        <w:t xml:space="preserve">[FULL ADDRESS]</w:t>
      </w:r>
      <w:r>
        <w:rPr>
          <w:rFonts w:ascii="Arial" w:cs="Arial" w:eastAsia="Arial" w:hAnsi="Arial"/>
          <w:color w:val="1A1A1A"/>
          <w:sz w:val="22"/>
          <w:szCs w:val="22"/>
        </w:rPr>
        <w:t xml:space="preserve"> ("Company").</w:t>
      </w:r>
    </w:p>
    <w:p>
      <w:pPr>
        <w:spacing w:before="80" w:after="80"/>
      </w:pPr>
      <w:r>
        <w:rPr>
          <w:rFonts w:ascii="Arial" w:cs="Arial" w:eastAsia="Arial" w:hAnsi="Arial"/>
          <w:color w:val="1A1A1A"/>
          <w:sz w:val="22"/>
          <w:szCs w:val="22"/>
        </w:rPr>
        <w:t xml:space="preserve"/>
      </w:r>
    </w:p>
    <w:p>
      <w:pPr>
        <w:spacing w:before="80" w:after="80"/>
      </w:pPr>
      <w:r>
        <w:rPr>
          <w:rFonts w:ascii="Arial" w:cs="Arial" w:eastAsia="Arial" w:hAnsi="Arial"/>
          <w:color w:val="1A1A1A"/>
          <w:sz w:val="22"/>
          <w:szCs w:val="22"/>
        </w:rPr>
        <w:t xml:space="preserve">Altiqa and Company are each referred to herein individually as a "Party" and collectively as the "Parties".</w:t>
      </w:r>
    </w:p>
    <w:p>
      <w:pPr>
        <w:pStyle w:val="Heading1"/>
        <w:spacing w:before="320" w:after="120"/>
      </w:pPr>
      <w:r>
        <w:rPr>
          <w:rFonts w:ascii="Arial" w:cs="Arial" w:eastAsia="Arial" w:hAnsi="Arial"/>
          <w:b/>
          <w:bCs/>
          <w:color w:val="1B2E5E"/>
          <w:sz w:val="28"/>
          <w:szCs w:val="28"/>
        </w:rPr>
        <w:t xml:space="preserve">1. PURPOSE</w:t>
      </w:r>
    </w:p>
    <w:p>
      <w:pPr>
        <w:spacing w:before="80" w:after="80"/>
      </w:pPr>
      <w:r>
        <w:rPr>
          <w:rFonts w:ascii="Arial" w:cs="Arial" w:eastAsia="Arial" w:hAnsi="Arial"/>
          <w:color w:val="1A1A1A"/>
          <w:sz w:val="22"/>
          <w:szCs w:val="22"/>
        </w:rPr>
        <w:t xml:space="preserve">The Parties wish to explore a potential business relationship regarding a Convertible Line of Credit facility and related financing arrangements (the "Purpose"). In connection with the Purpose, each Party may disclose certain Confidential Information to the other Party.</w:t>
      </w:r>
    </w:p>
    <w:p>
      <w:pPr>
        <w:pStyle w:val="Heading1"/>
        <w:spacing w:before="320" w:after="120"/>
      </w:pPr>
      <w:r>
        <w:rPr>
          <w:rFonts w:ascii="Arial" w:cs="Arial" w:eastAsia="Arial" w:hAnsi="Arial"/>
          <w:b/>
          <w:bCs/>
          <w:color w:val="1B2E5E"/>
          <w:sz w:val="28"/>
          <w:szCs w:val="28"/>
        </w:rPr>
        <w:t xml:space="preserve">2. DEFINITION OF CONFIDENTIAL INFORMATION</w:t>
      </w:r>
    </w:p>
    <w:p>
      <w:pPr>
        <w:spacing w:before="80" w:after="80"/>
      </w:pPr>
      <w:r>
        <w:rPr>
          <w:rFonts w:ascii="Arial" w:cs="Arial" w:eastAsia="Arial" w:hAnsi="Arial"/>
          <w:color w:val="1A1A1A"/>
          <w:sz w:val="22"/>
          <w:szCs w:val="22"/>
        </w:rPr>
        <w:t xml:space="preserve">"Confidential Information" means any and all non-public information disclosed by one Party ("Disclosing Party") to the other Party ("Receiving Party"), whether disclosed orally, in writing, electronically, or by any other means, that is designated as confidential or that reasonably should be understood to be confidential given the nature of the information and circumstances of disclosure. Confidential Information includes, without limitation:</w:t>
      </w:r>
    </w:p>
    <w:p>
      <w:pPr>
        <w:pStyle w:val="ListParagraph"/>
        <w:numPr>
          <w:ilvl w:val="0"/>
          <w:numId w:val="2"/>
        </w:numPr>
        <w:spacing w:before="40" w:after="40"/>
      </w:pPr>
      <w:r>
        <w:rPr>
          <w:rFonts w:ascii="Arial" w:cs="Arial" w:eastAsia="Arial" w:hAnsi="Arial"/>
          <w:color w:val="1A1A1A"/>
          <w:sz w:val="22"/>
          <w:szCs w:val="22"/>
        </w:rPr>
        <w:t xml:space="preserve">Financial statements, projections, and business plans</w:t>
      </w:r>
    </w:p>
    <w:p>
      <w:pPr>
        <w:pStyle w:val="ListParagraph"/>
        <w:numPr>
          <w:ilvl w:val="0"/>
          <w:numId w:val="2"/>
        </w:numPr>
        <w:spacing w:before="40" w:after="40"/>
      </w:pPr>
      <w:r>
        <w:rPr>
          <w:rFonts w:ascii="Arial" w:cs="Arial" w:eastAsia="Arial" w:hAnsi="Arial"/>
          <w:color w:val="1A1A1A"/>
          <w:sz w:val="22"/>
          <w:szCs w:val="22"/>
        </w:rPr>
        <w:t xml:space="preserve">Financing terms, deal structures, and investment strategies</w:t>
      </w:r>
    </w:p>
    <w:p>
      <w:pPr>
        <w:pStyle w:val="ListParagraph"/>
        <w:numPr>
          <w:ilvl w:val="0"/>
          <w:numId w:val="2"/>
        </w:numPr>
        <w:spacing w:before="40" w:after="40"/>
      </w:pPr>
      <w:r>
        <w:rPr>
          <w:rFonts w:ascii="Arial" w:cs="Arial" w:eastAsia="Arial" w:hAnsi="Arial"/>
          <w:color w:val="1A1A1A"/>
          <w:sz w:val="22"/>
          <w:szCs w:val="22"/>
        </w:rPr>
        <w:t xml:space="preserve">Proprietary methodologies, processes, and know-how</w:t>
      </w:r>
    </w:p>
    <w:p>
      <w:pPr>
        <w:pStyle w:val="ListParagraph"/>
        <w:numPr>
          <w:ilvl w:val="0"/>
          <w:numId w:val="2"/>
        </w:numPr>
        <w:spacing w:before="40" w:after="40"/>
      </w:pPr>
      <w:r>
        <w:rPr>
          <w:rFonts w:ascii="Arial" w:cs="Arial" w:eastAsia="Arial" w:hAnsi="Arial"/>
          <w:color w:val="1A1A1A"/>
          <w:sz w:val="22"/>
          <w:szCs w:val="22"/>
        </w:rPr>
        <w:t xml:space="preserve">Customer and client information</w:t>
      </w:r>
    </w:p>
    <w:p>
      <w:pPr>
        <w:pStyle w:val="ListParagraph"/>
        <w:numPr>
          <w:ilvl w:val="0"/>
          <w:numId w:val="2"/>
        </w:numPr>
        <w:spacing w:before="40" w:after="40"/>
      </w:pPr>
      <w:r>
        <w:rPr>
          <w:rFonts w:ascii="Arial" w:cs="Arial" w:eastAsia="Arial" w:hAnsi="Arial"/>
          <w:color w:val="1A1A1A"/>
          <w:sz w:val="22"/>
          <w:szCs w:val="22"/>
        </w:rPr>
        <w:t xml:space="preserve">Intellectual property and trade secrets</w:t>
      </w:r>
    </w:p>
    <w:p>
      <w:pPr>
        <w:pStyle w:val="ListParagraph"/>
        <w:numPr>
          <w:ilvl w:val="0"/>
          <w:numId w:val="2"/>
        </w:numPr>
        <w:spacing w:before="40" w:after="40"/>
      </w:pPr>
      <w:r>
        <w:rPr>
          <w:rFonts w:ascii="Arial" w:cs="Arial" w:eastAsia="Arial" w:hAnsi="Arial"/>
          <w:color w:val="1A1A1A"/>
          <w:sz w:val="22"/>
          <w:szCs w:val="22"/>
        </w:rPr>
        <w:t xml:space="preserve">Any information relating to the Purpose</w:t>
      </w:r>
    </w:p>
    <w:p>
      <w:pPr>
        <w:pStyle w:val="Heading1"/>
        <w:spacing w:before="320" w:after="120"/>
      </w:pPr>
      <w:r>
        <w:rPr>
          <w:rFonts w:ascii="Arial" w:cs="Arial" w:eastAsia="Arial" w:hAnsi="Arial"/>
          <w:b/>
          <w:bCs/>
          <w:color w:val="1B2E5E"/>
          <w:sz w:val="28"/>
          <w:szCs w:val="28"/>
        </w:rPr>
        <w:t xml:space="preserve">3. OBLIGATIONS OF RECEIVING PARTY</w:t>
      </w:r>
    </w:p>
    <w:p>
      <w:pPr>
        <w:spacing w:before="80" w:after="80"/>
      </w:pPr>
      <w:r>
        <w:rPr>
          <w:rFonts w:ascii="Arial" w:cs="Arial" w:eastAsia="Arial" w:hAnsi="Arial"/>
          <w:color w:val="1A1A1A"/>
          <w:sz w:val="22"/>
          <w:szCs w:val="22"/>
        </w:rPr>
        <w:t xml:space="preserve">Each Receiving Party agrees to:</w:t>
      </w:r>
    </w:p>
    <w:p>
      <w:pPr>
        <w:pStyle w:val="ListParagraph"/>
        <w:numPr>
          <w:ilvl w:val="0"/>
          <w:numId w:val="2"/>
        </w:numPr>
        <w:spacing w:before="40" w:after="40"/>
      </w:pPr>
      <w:r>
        <w:rPr>
          <w:rFonts w:ascii="Arial" w:cs="Arial" w:eastAsia="Arial" w:hAnsi="Arial"/>
          <w:color w:val="1A1A1A"/>
          <w:sz w:val="22"/>
          <w:szCs w:val="22"/>
        </w:rPr>
        <w:t xml:space="preserve">Hold all Confidential Information in strict confidence using at least the same degree of care it uses to protect its own confidential information, but in no event less than reasonable care</w:t>
      </w:r>
    </w:p>
    <w:p>
      <w:pPr>
        <w:pStyle w:val="ListParagraph"/>
        <w:numPr>
          <w:ilvl w:val="0"/>
          <w:numId w:val="2"/>
        </w:numPr>
        <w:spacing w:before="40" w:after="40"/>
      </w:pPr>
      <w:r>
        <w:rPr>
          <w:rFonts w:ascii="Arial" w:cs="Arial" w:eastAsia="Arial" w:hAnsi="Arial"/>
          <w:color w:val="1A1A1A"/>
          <w:sz w:val="22"/>
          <w:szCs w:val="22"/>
        </w:rPr>
        <w:t xml:space="preserve">Not disclose Confidential Information to any third party without the prior written consent of the Disclosing Party</w:t>
      </w:r>
    </w:p>
    <w:p>
      <w:pPr>
        <w:pStyle w:val="ListParagraph"/>
        <w:numPr>
          <w:ilvl w:val="0"/>
          <w:numId w:val="2"/>
        </w:numPr>
        <w:spacing w:before="40" w:after="40"/>
      </w:pPr>
      <w:r>
        <w:rPr>
          <w:rFonts w:ascii="Arial" w:cs="Arial" w:eastAsia="Arial" w:hAnsi="Arial"/>
          <w:color w:val="1A1A1A"/>
          <w:sz w:val="22"/>
          <w:szCs w:val="22"/>
        </w:rPr>
        <w:t xml:space="preserve">Use Confidential Information solely for the Purpose</w:t>
      </w:r>
    </w:p>
    <w:p>
      <w:pPr>
        <w:pStyle w:val="ListParagraph"/>
        <w:numPr>
          <w:ilvl w:val="0"/>
          <w:numId w:val="2"/>
        </w:numPr>
        <w:spacing w:before="40" w:after="40"/>
      </w:pPr>
      <w:r>
        <w:rPr>
          <w:rFonts w:ascii="Arial" w:cs="Arial" w:eastAsia="Arial" w:hAnsi="Arial"/>
          <w:color w:val="1A1A1A"/>
          <w:sz w:val="22"/>
          <w:szCs w:val="22"/>
        </w:rPr>
        <w:t xml:space="preserve">Limit access to Confidential Information to those employees, advisors, and representatives who have a need to know and are bound by confidentiality obligations no less restrictive than those contained herein</w:t>
      </w:r>
    </w:p>
    <w:p>
      <w:pPr>
        <w:pStyle w:val="ListParagraph"/>
        <w:numPr>
          <w:ilvl w:val="0"/>
          <w:numId w:val="2"/>
        </w:numPr>
        <w:spacing w:before="40" w:after="40"/>
      </w:pPr>
      <w:r>
        <w:rPr>
          <w:rFonts w:ascii="Arial" w:cs="Arial" w:eastAsia="Arial" w:hAnsi="Arial"/>
          <w:color w:val="1A1A1A"/>
          <w:sz w:val="22"/>
          <w:szCs w:val="22"/>
        </w:rPr>
        <w:t xml:space="preserve">Promptly notify the Disclosing Party upon becoming aware of any unauthorized use or disclosure of Confidential Information</w:t>
      </w:r>
    </w:p>
    <w:p>
      <w:pPr>
        <w:pStyle w:val="Heading1"/>
        <w:spacing w:before="320" w:after="120"/>
      </w:pPr>
      <w:r>
        <w:rPr>
          <w:rFonts w:ascii="Arial" w:cs="Arial" w:eastAsia="Arial" w:hAnsi="Arial"/>
          <w:b/>
          <w:bCs/>
          <w:color w:val="1B2E5E"/>
          <w:sz w:val="28"/>
          <w:szCs w:val="28"/>
        </w:rPr>
        <w:t xml:space="preserve">4. EXCEPTIONS</w:t>
      </w:r>
    </w:p>
    <w:p>
      <w:pPr>
        <w:spacing w:before="80" w:after="80"/>
      </w:pPr>
      <w:r>
        <w:rPr>
          <w:rFonts w:ascii="Arial" w:cs="Arial" w:eastAsia="Arial" w:hAnsi="Arial"/>
          <w:color w:val="1A1A1A"/>
          <w:sz w:val="22"/>
          <w:szCs w:val="22"/>
        </w:rPr>
        <w:t xml:space="preserve">The obligations of confidentiality shall not apply to information that:</w:t>
      </w:r>
    </w:p>
    <w:p>
      <w:pPr>
        <w:pStyle w:val="ListParagraph"/>
        <w:numPr>
          <w:ilvl w:val="0"/>
          <w:numId w:val="2"/>
        </w:numPr>
        <w:spacing w:before="40" w:after="40"/>
      </w:pPr>
      <w:r>
        <w:rPr>
          <w:rFonts w:ascii="Arial" w:cs="Arial" w:eastAsia="Arial" w:hAnsi="Arial"/>
          <w:color w:val="1A1A1A"/>
          <w:sz w:val="22"/>
          <w:szCs w:val="22"/>
        </w:rPr>
        <w:t xml:space="preserve">Is or becomes publicly available through no fault of the Receiving Party</w:t>
      </w:r>
    </w:p>
    <w:p>
      <w:pPr>
        <w:pStyle w:val="ListParagraph"/>
        <w:numPr>
          <w:ilvl w:val="0"/>
          <w:numId w:val="2"/>
        </w:numPr>
        <w:spacing w:before="40" w:after="40"/>
      </w:pPr>
      <w:r>
        <w:rPr>
          <w:rFonts w:ascii="Arial" w:cs="Arial" w:eastAsia="Arial" w:hAnsi="Arial"/>
          <w:color w:val="1A1A1A"/>
          <w:sz w:val="22"/>
          <w:szCs w:val="22"/>
        </w:rPr>
        <w:t xml:space="preserve">Was rightfully known to the Receiving Party prior to disclosure without restriction</w:t>
      </w:r>
    </w:p>
    <w:p>
      <w:pPr>
        <w:pStyle w:val="ListParagraph"/>
        <w:numPr>
          <w:ilvl w:val="0"/>
          <w:numId w:val="2"/>
        </w:numPr>
        <w:spacing w:before="40" w:after="40"/>
      </w:pPr>
      <w:r>
        <w:rPr>
          <w:rFonts w:ascii="Arial" w:cs="Arial" w:eastAsia="Arial" w:hAnsi="Arial"/>
          <w:color w:val="1A1A1A"/>
          <w:sz w:val="22"/>
          <w:szCs w:val="22"/>
        </w:rPr>
        <w:t xml:space="preserve">Is rightfully received from a third party without restriction on disclosure</w:t>
      </w:r>
    </w:p>
    <w:p>
      <w:pPr>
        <w:pStyle w:val="ListParagraph"/>
        <w:numPr>
          <w:ilvl w:val="0"/>
          <w:numId w:val="2"/>
        </w:numPr>
        <w:spacing w:before="40" w:after="40"/>
      </w:pPr>
      <w:r>
        <w:rPr>
          <w:rFonts w:ascii="Arial" w:cs="Arial" w:eastAsia="Arial" w:hAnsi="Arial"/>
          <w:color w:val="1A1A1A"/>
          <w:sz w:val="22"/>
          <w:szCs w:val="22"/>
        </w:rPr>
        <w:t xml:space="preserve">Is independently developed by the Receiving Party without use of Confidential Information</w:t>
      </w:r>
    </w:p>
    <w:p>
      <w:pPr>
        <w:pStyle w:val="ListParagraph"/>
        <w:numPr>
          <w:ilvl w:val="0"/>
          <w:numId w:val="2"/>
        </w:numPr>
        <w:spacing w:before="40" w:after="40"/>
      </w:pPr>
      <w:r>
        <w:rPr>
          <w:rFonts w:ascii="Arial" w:cs="Arial" w:eastAsia="Arial" w:hAnsi="Arial"/>
          <w:color w:val="1A1A1A"/>
          <w:sz w:val="22"/>
          <w:szCs w:val="22"/>
        </w:rPr>
        <w:t xml:space="preserve">Is required to be disclosed by applicable law, regulation, or court order, provided that the Receiving Party gives prompt prior written notice to the Disclosing Party and cooperates in seeking a protective order</w:t>
      </w:r>
    </w:p>
    <w:p>
      <w:pPr>
        <w:pStyle w:val="Heading1"/>
        <w:spacing w:before="320" w:after="120"/>
      </w:pPr>
      <w:r>
        <w:rPr>
          <w:rFonts w:ascii="Arial" w:cs="Arial" w:eastAsia="Arial" w:hAnsi="Arial"/>
          <w:b/>
          <w:bCs/>
          <w:color w:val="1B2E5E"/>
          <w:sz w:val="28"/>
          <w:szCs w:val="28"/>
        </w:rPr>
        <w:t xml:space="preserve">5. TERM AND TERMINATION</w:t>
      </w:r>
    </w:p>
    <w:p>
      <w:pPr>
        <w:spacing w:before="80" w:after="80"/>
      </w:pPr>
      <w:r>
        <w:rPr>
          <w:rFonts w:ascii="Arial" w:cs="Arial" w:eastAsia="Arial" w:hAnsi="Arial"/>
          <w:color w:val="1A1A1A"/>
          <w:sz w:val="22"/>
          <w:szCs w:val="22"/>
        </w:rPr>
        <w:t xml:space="preserve">This Agreement shall be effective as of the Effective Date and shall continue for a period of </w:t>
      </w:r>
      <w:r>
        <w:rPr>
          <w:b/>
          <w:bCs/>
          <w:color w:val="CC0000"/>
        </w:rPr>
        <w:t xml:space="preserve">[3 [THREE]]</w:t>
      </w:r>
      <w:r>
        <w:rPr>
          <w:rFonts w:ascii="Arial" w:cs="Arial" w:eastAsia="Arial" w:hAnsi="Arial"/>
          <w:color w:val="1A1A1A"/>
          <w:sz w:val="22"/>
          <w:szCs w:val="22"/>
        </w:rPr>
        <w:t xml:space="preserve"> years, unless earlier terminated by either Party upon thirty (30) days written notice. The confidentiality obligations shall survive termination of this Agreement for a further period of </w:t>
      </w:r>
      <w:r>
        <w:rPr>
          <w:b/>
          <w:bCs/>
          <w:color w:val="CC0000"/>
        </w:rPr>
        <w:t xml:space="preserve">[2 [TWO]]</w:t>
      </w:r>
      <w:r>
        <w:rPr>
          <w:rFonts w:ascii="Arial" w:cs="Arial" w:eastAsia="Arial" w:hAnsi="Arial"/>
          <w:color w:val="1A1A1A"/>
          <w:sz w:val="22"/>
          <w:szCs w:val="22"/>
        </w:rPr>
        <w:t xml:space="preserve"> years.</w:t>
      </w:r>
    </w:p>
    <w:p>
      <w:pPr>
        <w:pStyle w:val="Heading1"/>
        <w:spacing w:before="320" w:after="120"/>
      </w:pPr>
      <w:r>
        <w:rPr>
          <w:rFonts w:ascii="Arial" w:cs="Arial" w:eastAsia="Arial" w:hAnsi="Arial"/>
          <w:b/>
          <w:bCs/>
          <w:color w:val="1B2E5E"/>
          <w:sz w:val="28"/>
          <w:szCs w:val="28"/>
        </w:rPr>
        <w:t xml:space="preserve">6. NO LICENSE</w:t>
      </w:r>
    </w:p>
    <w:p>
      <w:pPr>
        <w:spacing w:before="80" w:after="80"/>
      </w:pPr>
      <w:r>
        <w:rPr>
          <w:rFonts w:ascii="Arial" w:cs="Arial" w:eastAsia="Arial" w:hAnsi="Arial"/>
          <w:color w:val="1A1A1A"/>
          <w:sz w:val="22"/>
          <w:szCs w:val="22"/>
        </w:rPr>
        <w:t xml:space="preserve">Nothing in this Agreement grants either Party any right, title, or interest in or to the other Party's Confidential Information, or any license under any patent, copyright, trademark, or other intellectual property right.</w:t>
      </w:r>
    </w:p>
    <w:p>
      <w:pPr>
        <w:pStyle w:val="Heading1"/>
        <w:spacing w:before="320" w:after="120"/>
      </w:pPr>
      <w:r>
        <w:rPr>
          <w:rFonts w:ascii="Arial" w:cs="Arial" w:eastAsia="Arial" w:hAnsi="Arial"/>
          <w:b/>
          <w:bCs/>
          <w:color w:val="1B2E5E"/>
          <w:sz w:val="28"/>
          <w:szCs w:val="28"/>
        </w:rPr>
        <w:t xml:space="preserve">7. RETURN OF INFORMATION</w:t>
      </w:r>
    </w:p>
    <w:p>
      <w:pPr>
        <w:spacing w:before="80" w:after="80"/>
      </w:pPr>
      <w:r>
        <w:rPr>
          <w:rFonts w:ascii="Arial" w:cs="Arial" w:eastAsia="Arial" w:hAnsi="Arial"/>
          <w:color w:val="1A1A1A"/>
          <w:sz w:val="22"/>
          <w:szCs w:val="22"/>
        </w:rPr>
        <w:t xml:space="preserve">Upon written request by the Disclosing Party, the Receiving Party shall promptly return or destroy all Confidential Information and any copies thereof, and certify in writing that it has done so.</w:t>
      </w:r>
    </w:p>
    <w:p>
      <w:pPr>
        <w:pStyle w:val="Heading1"/>
        <w:spacing w:before="320" w:after="120"/>
      </w:pPr>
      <w:r>
        <w:rPr>
          <w:rFonts w:ascii="Arial" w:cs="Arial" w:eastAsia="Arial" w:hAnsi="Arial"/>
          <w:b/>
          <w:bCs/>
          <w:color w:val="1B2E5E"/>
          <w:sz w:val="28"/>
          <w:szCs w:val="28"/>
        </w:rPr>
        <w:t xml:space="preserve">8. NO OBLIGATION</w:t>
      </w:r>
    </w:p>
    <w:p>
      <w:pPr>
        <w:spacing w:before="80" w:after="80"/>
      </w:pPr>
      <w:r>
        <w:rPr>
          <w:rFonts w:ascii="Arial" w:cs="Arial" w:eastAsia="Arial" w:hAnsi="Arial"/>
          <w:color w:val="1A1A1A"/>
          <w:sz w:val="22"/>
          <w:szCs w:val="22"/>
        </w:rPr>
        <w:t xml:space="preserve">Nothing in this Agreement obligates either Party to proceed with any transaction, business relationship, or arrangement. Each Party reserves the right to terminate discussions at any time without liability.</w:t>
      </w:r>
    </w:p>
    <w:p>
      <w:pPr>
        <w:pStyle w:val="Heading1"/>
        <w:spacing w:before="320" w:after="120"/>
      </w:pPr>
      <w:r>
        <w:rPr>
          <w:rFonts w:ascii="Arial" w:cs="Arial" w:eastAsia="Arial" w:hAnsi="Arial"/>
          <w:b/>
          <w:bCs/>
          <w:color w:val="1B2E5E"/>
          <w:sz w:val="28"/>
          <w:szCs w:val="28"/>
        </w:rPr>
        <w:t xml:space="preserve">9. GOVERNING LAW AND DISPUTE RESOLUTION</w:t>
      </w:r>
    </w:p>
    <w:p>
      <w:pPr>
        <w:spacing w:before="80" w:after="80"/>
      </w:pPr>
      <w:r>
        <w:rPr>
          <w:rFonts w:ascii="Arial" w:cs="Arial" w:eastAsia="Arial" w:hAnsi="Arial"/>
          <w:color w:val="1A1A1A"/>
          <w:sz w:val="22"/>
          <w:szCs w:val="22"/>
        </w:rPr>
        <w:t xml:space="preserve">This Agreement shall be governed by and construed in accordance with the laws of the State of New York, United States, without regard to its conflict of law provisions. Any dispute arising out of or relating to this Agreement shall be resolved by binding arbitration administered by the American Arbitration Association (AAA) in New York, NY.</w:t>
      </w:r>
    </w:p>
    <w:p>
      <w:pPr>
        <w:pStyle w:val="Heading1"/>
        <w:spacing w:before="320" w:after="120"/>
      </w:pPr>
      <w:r>
        <w:rPr>
          <w:rFonts w:ascii="Arial" w:cs="Arial" w:eastAsia="Arial" w:hAnsi="Arial"/>
          <w:b/>
          <w:bCs/>
          <w:color w:val="1B2E5E"/>
          <w:sz w:val="28"/>
          <w:szCs w:val="28"/>
        </w:rPr>
        <w:t xml:space="preserve">10. GENERAL PROVISIONS</w:t>
      </w:r>
    </w:p>
    <w:p>
      <w:pPr>
        <w:spacing w:before="80" w:after="80"/>
      </w:pPr>
      <w:r>
        <w:rPr>
          <w:rFonts w:ascii="Arial" w:cs="Arial" w:eastAsia="Arial" w:hAnsi="Arial"/>
          <w:b/>
          <w:bCs/>
          <w:color w:val="1A1A1A"/>
          <w:sz w:val="22"/>
          <w:szCs w:val="22"/>
        </w:rPr>
        <w:t xml:space="preserve">10.1 Entire Agreement. </w:t>
      </w:r>
      <w:r>
        <w:rPr>
          <w:rFonts w:ascii="Arial" w:cs="Arial" w:eastAsia="Arial" w:hAnsi="Arial"/>
          <w:color w:val="1A1A1A"/>
          <w:sz w:val="22"/>
          <w:szCs w:val="22"/>
        </w:rPr>
        <w:t xml:space="preserve">This Agreement constitutes the entire agreement between the Parties with respect to its subject matter and supersedes all prior discussions and understandings.</w:t>
      </w:r>
    </w:p>
    <w:p>
      <w:pPr>
        <w:spacing w:before="80" w:after="80"/>
      </w:pPr>
      <w:r>
        <w:rPr>
          <w:rFonts w:ascii="Arial" w:cs="Arial" w:eastAsia="Arial" w:hAnsi="Arial"/>
          <w:b/>
          <w:bCs/>
          <w:color w:val="1A1A1A"/>
          <w:sz w:val="22"/>
          <w:szCs w:val="22"/>
        </w:rPr>
        <w:t xml:space="preserve">10.2 Amendments. </w:t>
      </w:r>
      <w:r>
        <w:rPr>
          <w:rFonts w:ascii="Arial" w:cs="Arial" w:eastAsia="Arial" w:hAnsi="Arial"/>
          <w:color w:val="1A1A1A"/>
          <w:sz w:val="22"/>
          <w:szCs w:val="22"/>
        </w:rPr>
        <w:t xml:space="preserve">This Agreement may not be amended except by a written instrument signed by both Parties.</w:t>
      </w:r>
    </w:p>
    <w:p>
      <w:pPr>
        <w:spacing w:before="80" w:after="80"/>
      </w:pPr>
      <w:r>
        <w:rPr>
          <w:rFonts w:ascii="Arial" w:cs="Arial" w:eastAsia="Arial" w:hAnsi="Arial"/>
          <w:b/>
          <w:bCs/>
          <w:color w:val="1A1A1A"/>
          <w:sz w:val="22"/>
          <w:szCs w:val="22"/>
        </w:rPr>
        <w:t xml:space="preserve">10.3 Counterparts. </w:t>
      </w:r>
      <w:r>
        <w:rPr>
          <w:rFonts w:ascii="Arial" w:cs="Arial" w:eastAsia="Arial" w:hAnsi="Arial"/>
          <w:color w:val="1A1A1A"/>
          <w:sz w:val="22"/>
          <w:szCs w:val="22"/>
        </w:rPr>
        <w:t xml:space="preserve">This Agreement may be executed in counterparts, each of which shall be deemed an original and together shall constitute one and the same instrument. Electronic signatures shall be deemed valid.</w:t>
      </w:r>
    </w:p>
    <w:p>
      <w:pPr>
        <w:spacing w:before="80" w:after="80"/>
      </w:pPr>
      <w:r>
        <w:rPr>
          <w:rFonts w:ascii="Arial" w:cs="Arial" w:eastAsia="Arial" w:hAnsi="Arial"/>
          <w:b/>
          <w:bCs/>
          <w:color w:val="1A1A1A"/>
          <w:sz w:val="22"/>
          <w:szCs w:val="22"/>
        </w:rPr>
        <w:t xml:space="preserve">10.4 Severability. </w:t>
      </w:r>
      <w:r>
        <w:rPr>
          <w:rFonts w:ascii="Arial" w:cs="Arial" w:eastAsia="Arial" w:hAnsi="Arial"/>
          <w:color w:val="1A1A1A"/>
          <w:sz w:val="22"/>
          <w:szCs w:val="22"/>
        </w:rPr>
        <w:t xml:space="preserve">If any provision of this Agreement is found to be unenforceable, the remaining provisions shall continue in full force and effect.</w:t>
      </w:r>
    </w:p>
    <w:p>
      <w:pPr>
        <w:pBdr>
          <w:bottom w:val="single" w:color="1B2E5E" w:sz="8" w:space="1"/>
        </w:pBdr>
        <w:spacing w:before="200" w:after="200"/>
      </w:pPr>
    </w:p>
    <w:p>
      <w:pPr>
        <w:pStyle w:val="Heading1"/>
        <w:spacing w:before="320" w:after="120"/>
      </w:pPr>
      <w:r>
        <w:rPr>
          <w:rFonts w:ascii="Arial" w:cs="Arial" w:eastAsia="Arial" w:hAnsi="Arial"/>
          <w:b/>
          <w:bCs/>
          <w:color w:val="1B2E5E"/>
          <w:sz w:val="28"/>
          <w:szCs w:val="28"/>
        </w:rPr>
        <w:t xml:space="preserve">SIGNATURES</w:t>
      </w:r>
    </w:p>
    <w:p>
      <w:pPr>
        <w:spacing w:before="80" w:after="80"/>
      </w:pPr>
      <w:r>
        <w:rPr>
          <w:rFonts w:ascii="Arial" w:cs="Arial" w:eastAsia="Arial" w:hAnsi="Arial"/>
          <w:color w:val="1A1A1A"/>
          <w:sz w:val="22"/>
          <w:szCs w:val="22"/>
        </w:rPr>
        <w:t xml:space="preserve">IN WITNESS WHEREOF, the Parties have executed this Mutual Non-Disclosure Agreement as of the date first written above.</w:t>
      </w:r>
    </w:p>
    <w:p>
      <w:pPr>
        <w:spacing w:before="240" w:after="40"/>
      </w:pPr>
      <w:r>
        <w:rPr>
          <w:rFonts w:ascii="Arial" w:cs="Arial" w:eastAsia="Arial" w:hAnsi="Arial"/>
          <w:color w:val="1A1A1A"/>
          <w:sz w:val="22"/>
          <w:szCs w:val="22"/>
        </w:rPr>
        <w:t xml:space="preserve"/>
      </w:r>
    </w:p>
    <w:p>
      <w:r>
        <w:rPr>
          <w:rFonts w:ascii="Arial" w:cs="Arial" w:eastAsia="Arial" w:hAnsi="Arial"/>
          <w:b/>
          <w:bCs/>
          <w:color w:val="1A1A1A"/>
          <w:sz w:val="22"/>
          <w:szCs w:val="22"/>
        </w:rPr>
        <w:t xml:space="preserve">ALTIQA MULTI-FAMILY OFFICE PTE. LTD.</w:t>
      </w:r>
    </w:p>
    <w:p>
      <w:pPr>
        <w:spacing w:before="40" w:after="40"/>
      </w:pPr>
      <w:r>
        <w:rPr>
          <w:rFonts w:ascii="Arial" w:cs="Arial" w:eastAsia="Arial" w:hAnsi="Arial"/>
          <w:color w:val="1A1A1A"/>
          <w:sz w:val="22"/>
          <w:szCs w:val="22"/>
        </w:rPr>
        <w:t xml:space="preserve"/>
      </w:r>
    </w:p>
    <w:p>
      <w:r>
        <w:rPr>
          <w:rFonts w:ascii="Arial" w:cs="Arial" w:eastAsia="Arial" w:hAnsi="Arial"/>
          <w:b/>
          <w:bCs/>
          <w:color w:val="1A1A1A"/>
          <w:sz w:val="22"/>
          <w:szCs w:val="22"/>
        </w:rPr>
        <w:t xml:space="preserve">Signature: </w:t>
      </w:r>
      <w:r>
        <w:rPr>
          <w:rFonts w:ascii="Arial" w:cs="Arial" w:eastAsia="Arial" w:hAnsi="Arial"/>
          <w:color w:val="1A1A1A"/>
          <w:sz w:val="22"/>
          <w:szCs w:val="22"/>
        </w:rPr>
        <w:t xml:space="preserve">_________________________________</w:t>
      </w:r>
    </w:p>
    <w:p>
      <w:pPr>
        <w:spacing w:before="80" w:after="40"/>
      </w:pPr>
      <w:r>
        <w:rPr>
          <w:rFonts w:ascii="Arial" w:cs="Arial" w:eastAsia="Arial" w:hAnsi="Arial"/>
          <w:b/>
          <w:bCs/>
          <w:color w:val="1A1A1A"/>
          <w:sz w:val="22"/>
          <w:szCs w:val="22"/>
        </w:rPr>
        <w:t xml:space="preserve">Name: </w:t>
      </w:r>
      <w:r>
        <w:rPr>
          <w:rFonts w:ascii="Arial" w:cs="Arial" w:eastAsia="Arial" w:hAnsi="Arial"/>
          <w:color w:val="1A1A1A"/>
          <w:sz w:val="22"/>
          <w:szCs w:val="22"/>
        </w:rPr>
        <w:t xml:space="preserve">Roy Pang</w:t>
      </w:r>
    </w:p>
    <w:p>
      <w:pPr>
        <w:spacing w:before="40" w:after="40"/>
      </w:pPr>
      <w:r>
        <w:rPr>
          <w:rFonts w:ascii="Arial" w:cs="Arial" w:eastAsia="Arial" w:hAnsi="Arial"/>
          <w:b/>
          <w:bCs/>
          <w:color w:val="1A1A1A"/>
          <w:sz w:val="22"/>
          <w:szCs w:val="22"/>
        </w:rPr>
        <w:t xml:space="preserve">Title: </w:t>
      </w:r>
      <w:r>
        <w:rPr>
          <w:rFonts w:ascii="Arial" w:cs="Arial" w:eastAsia="Arial" w:hAnsi="Arial"/>
          <w:color w:val="1A1A1A"/>
          <w:sz w:val="22"/>
          <w:szCs w:val="22"/>
        </w:rPr>
        <w:t xml:space="preserve">Wealth Management Director</w:t>
      </w:r>
    </w:p>
    <w:p>
      <w:pPr>
        <w:spacing w:before="40" w:after="40"/>
      </w:pPr>
      <w:r>
        <w:rPr>
          <w:rFonts w:ascii="Arial" w:cs="Arial" w:eastAsia="Arial" w:hAnsi="Arial"/>
          <w:b/>
          <w:bCs/>
          <w:color w:val="1A1A1A"/>
          <w:sz w:val="22"/>
          <w:szCs w:val="22"/>
        </w:rPr>
        <w:t xml:space="preserve">Date: </w:t>
      </w:r>
      <w:r>
        <w:rPr>
          <w:rFonts w:ascii="Arial" w:cs="Arial" w:eastAsia="Arial" w:hAnsi="Arial"/>
          <w:color w:val="1A1A1A"/>
          <w:sz w:val="22"/>
          <w:szCs w:val="22"/>
        </w:rPr>
        <w:t xml:space="preserve">_________________________________</w:t>
      </w:r>
    </w:p>
    <w:p>
      <w:pPr>
        <w:spacing w:before="120" w:after="120"/>
      </w:pPr>
      <w:r>
        <w:rPr>
          <w:rFonts w:ascii="Arial" w:cs="Arial" w:eastAsia="Arial" w:hAnsi="Arial"/>
          <w:color w:val="1A1A1A"/>
          <w:sz w:val="22"/>
          <w:szCs w:val="22"/>
        </w:rPr>
        <w:t xml:space="preserve"/>
      </w:r>
    </w:p>
    <w:p>
      <w:pPr>
        <w:spacing w:before="240" w:after="40"/>
      </w:pPr>
      <w:r>
        <w:rPr>
          <w:rFonts w:ascii="Arial" w:cs="Arial" w:eastAsia="Arial" w:hAnsi="Arial"/>
          <w:color w:val="1A1A1A"/>
          <w:sz w:val="22"/>
          <w:szCs w:val="22"/>
        </w:rPr>
        <w:t xml:space="preserve"/>
      </w:r>
    </w:p>
    <w:p>
      <w:r>
        <w:rPr>
          <w:rFonts w:ascii="Arial" w:cs="Arial" w:eastAsia="Arial" w:hAnsi="Arial"/>
          <w:b/>
          <w:bCs/>
          <w:color w:val="1A1A1A"/>
          <w:sz w:val="22"/>
          <w:szCs w:val="22"/>
        </w:rPr>
        <w:t xml:space="preserve">[BORROWER COMPANY NAME]</w:t>
      </w:r>
    </w:p>
    <w:p>
      <w:pPr>
        <w:spacing w:before="40" w:after="40"/>
      </w:pPr>
      <w:r>
        <w:rPr>
          <w:rFonts w:ascii="Arial" w:cs="Arial" w:eastAsia="Arial" w:hAnsi="Arial"/>
          <w:color w:val="1A1A1A"/>
          <w:sz w:val="22"/>
          <w:szCs w:val="22"/>
        </w:rPr>
        <w:t xml:space="preserve"/>
      </w:r>
    </w:p>
    <w:p>
      <w:r>
        <w:rPr>
          <w:rFonts w:ascii="Arial" w:cs="Arial" w:eastAsia="Arial" w:hAnsi="Arial"/>
          <w:b/>
          <w:bCs/>
          <w:color w:val="1A1A1A"/>
          <w:sz w:val="22"/>
          <w:szCs w:val="22"/>
        </w:rPr>
        <w:t xml:space="preserve">Signature: </w:t>
      </w:r>
      <w:r>
        <w:rPr>
          <w:rFonts w:ascii="Arial" w:cs="Arial" w:eastAsia="Arial" w:hAnsi="Arial"/>
          <w:color w:val="1A1A1A"/>
          <w:sz w:val="22"/>
          <w:szCs w:val="22"/>
        </w:rPr>
        <w:t xml:space="preserve">_________________________________</w:t>
      </w:r>
    </w:p>
    <w:p>
      <w:pPr>
        <w:spacing w:before="80" w:after="40"/>
      </w:pPr>
      <w:r>
        <w:rPr>
          <w:rFonts w:ascii="Arial" w:cs="Arial" w:eastAsia="Arial" w:hAnsi="Arial"/>
          <w:b/>
          <w:bCs/>
          <w:color w:val="1A1A1A"/>
          <w:sz w:val="22"/>
          <w:szCs w:val="22"/>
        </w:rPr>
        <w:t xml:space="preserve">Name: </w:t>
      </w:r>
      <w:r>
        <w:rPr>
          <w:rFonts w:ascii="Arial" w:cs="Arial" w:eastAsia="Arial" w:hAnsi="Arial"/>
          <w:color w:val="1A1A1A"/>
          <w:sz w:val="22"/>
          <w:szCs w:val="22"/>
        </w:rPr>
        <w:t xml:space="preserve">[AUTHORIZED SIGNATORY NAME]</w:t>
      </w:r>
    </w:p>
    <w:p>
      <w:pPr>
        <w:spacing w:before="40" w:after="40"/>
      </w:pPr>
      <w:r>
        <w:rPr>
          <w:rFonts w:ascii="Arial" w:cs="Arial" w:eastAsia="Arial" w:hAnsi="Arial"/>
          <w:b/>
          <w:bCs/>
          <w:color w:val="1A1A1A"/>
          <w:sz w:val="22"/>
          <w:szCs w:val="22"/>
        </w:rPr>
        <w:t xml:space="preserve">Title: </w:t>
      </w:r>
      <w:r>
        <w:rPr>
          <w:rFonts w:ascii="Arial" w:cs="Arial" w:eastAsia="Arial" w:hAnsi="Arial"/>
          <w:color w:val="1A1A1A"/>
          <w:sz w:val="22"/>
          <w:szCs w:val="22"/>
        </w:rPr>
        <w:t xml:space="preserve">[TITLE]</w:t>
      </w:r>
    </w:p>
    <w:p>
      <w:pPr>
        <w:spacing w:before="40" w:after="40"/>
      </w:pPr>
      <w:r>
        <w:rPr>
          <w:rFonts w:ascii="Arial" w:cs="Arial" w:eastAsia="Arial" w:hAnsi="Arial"/>
          <w:b/>
          <w:bCs/>
          <w:color w:val="1A1A1A"/>
          <w:sz w:val="22"/>
          <w:szCs w:val="22"/>
        </w:rPr>
        <w:t xml:space="preserve">Date: </w:t>
      </w:r>
      <w:r>
        <w:rPr>
          <w:rFonts w:ascii="Arial" w:cs="Arial" w:eastAsia="Arial" w:hAnsi="Arial"/>
          <w:color w:val="1A1A1A"/>
          <w:sz w:val="22"/>
          <w:szCs w:val="22"/>
        </w:rPr>
        <w:t xml:space="preserve">_________________________________</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6E0" w:sz="4" w:space="1"/>
      </w:pBdr>
      <w:tabs>
        <w:tab w:val="center" w:pos="4680"/>
        <w:tab w:val="right" w:pos="9360"/>
      </w:tabs>
      <w:spacing w:before="120" w:after="0"/>
    </w:pPr>
    <w:r>
      <w:rPr>
        <w:rFonts w:ascii="Arial" w:cs="Arial" w:eastAsia="Arial" w:hAnsi="Arial"/>
        <w:color w:val="888888"/>
        <w:sz w:val="16"/>
        <w:szCs w:val="16"/>
      </w:rPr>
      <w:t xml:space="preserve">Altiqa Multi-Family Office Pte. Ltd.</w:t>
    </w:r>
    <w:r>
      <w:rPr>
        <w:rFonts w:ascii="Arial" w:cs="Arial" w:eastAsia="Arial" w:hAnsi="Arial"/>
        <w:color w:val="888888"/>
        <w:sz w:val="16"/>
        <w:szCs w:val="16"/>
      </w:rPr>
      <w:t xml:space="preserve">	Mutual NDA	</w:t>
    </w:r>
    <w:r>
      <w:rPr>
        <w:rFonts w:ascii="Arial" w:cs="Arial" w:eastAsia="Arial" w:hAnsi="Arial"/>
        <w:color w:val="888888"/>
        <w:sz w:val="16"/>
        <w:szCs w:val="16"/>
      </w:rPr>
      <w:pgNum/>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B2E5E" w:sz="4" w:space="1"/>
      </w:pBdr>
      <w:spacing w:before="0" w:after="160"/>
      <w:jc w:val="right"/>
    </w:pPr>
    <w:r>
      <w:rPr>
        <w:rFonts w:ascii="Arial" w:cs="Arial" w:eastAsia="Arial" w:hAnsi="Arial"/>
        <w:b/>
        <w:bCs/>
        <w:color w:val="1F7A8C"/>
        <w:sz w:val="16"/>
        <w:szCs w:val="16"/>
      </w:rPr>
      <w:t xml:space="preserve">ALTIQA MULTI-FAMILY OFFICE | CONFIDENTIAL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abstractNum>
  <w:abstractNum w:abstractNumId="3" w15:restartNumberingAfterBreak="0">
    <w:multiLevelType w:val="hybridMultilevel"/>
    <w:lvl w:ilvl="0" w15:tentative="1">
      <w:start w:val="1"/>
      <w:numFmt w:val="decimal"/>
      <w:lvlText w:val="%1."/>
      <w:lvlJc w:val="left"/>
      <w:pPr>
        <w:ind w:left="720" w:hanging="360"/>
      </w:pPr>
    </w:lvl>
    <w:lvl w:ilvl="1" w15:tentative="1">
      <w:start w:val="1"/>
      <w:numFmt w:val="lowerLetter"/>
      <w:lvlText w:val="%2."/>
      <w:lvlJc w:val="left"/>
      <w:pPr>
        <w:ind w:left="10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20" w:after="120"/>
      <w:outlineLvl w:val="0"/>
    </w:pPr>
    <w:rPr>
      <w:rFonts w:ascii="Arial" w:cs="Arial" w:eastAsia="Arial" w:hAnsi="Arial"/>
      <w:b/>
      <w:bCs/>
      <w:color w:val="1B2E5E"/>
      <w:sz w:val="28"/>
      <w:szCs w:val="28"/>
    </w:rPr>
  </w:style>
  <w:style w:type="paragraph" w:styleId="Heading2">
    <w:name w:val="Heading 2"/>
    <w:basedOn w:val="Normal"/>
    <w:next w:val="Normal"/>
    <w:qFormat/>
    <w:pPr>
      <w:spacing w:before="240" w:after="100"/>
      <w:outlineLvl w:val="1"/>
    </w:pPr>
    <w:rPr>
      <w:rFonts w:ascii="Arial" w:cs="Arial" w:eastAsia="Arial" w:hAnsi="Arial"/>
      <w:b/>
      <w:bCs/>
      <w:color w:val="1F7A8C"/>
      <w:sz w:val="24"/>
      <w:szCs w:val="24"/>
    </w:rPr>
  </w:style>
  <w:style w:type="paragraph" w:styleId="Heading3">
    <w:name w:val="Heading 3"/>
    <w:basedOn w:val="Normal"/>
    <w:next w:val="Normal"/>
    <w:qFormat/>
    <w:pPr>
      <w:spacing w:before="180" w:after="80"/>
      <w:outlineLvl w:val="2"/>
    </w:pPr>
    <w:rPr>
      <w:rFonts w:ascii="Arial" w:cs="Arial" w:eastAsia="Arial" w:hAnsi="Arial"/>
      <w:b/>
      <w:bCs/>
      <w:color w:val="C8963E"/>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2026-03-29T12:49:31.404Z</dcterms:created>
  <dcterms:modified xsi:type="dcterms:W3CDTF">2026-03-29T12:49:31.404Z</dcterms:modified>
</cp:coreProperties>
</file>

<file path=docProps/custom.xml><?xml version="1.0" encoding="utf-8"?>
<Properties xmlns="http://schemas.openxmlformats.org/officeDocument/2006/custom-properties" xmlns:vt="http://schemas.openxmlformats.org/officeDocument/2006/docPropsVTypes"/>
</file>